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0C9EB" w14:textId="6A819E07" w:rsidR="004F0C4D" w:rsidRDefault="00FF0C6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sidR="00B51B94">
        <w:rPr>
          <w:rFonts w:ascii="Arial" w:hAnsi="Arial" w:cs="Arial"/>
          <w:b/>
          <w:sz w:val="22"/>
          <w:szCs w:val="22"/>
          <w:lang w:eastAsia="zh-CN"/>
        </w:rPr>
        <w:t>9</w:t>
      </w:r>
      <w:r w:rsidR="002E2A72">
        <w:rPr>
          <w:rFonts w:ascii="Arial" w:hAnsi="Arial" w:cs="Arial"/>
          <w:b/>
          <w:sz w:val="22"/>
          <w:szCs w:val="22"/>
        </w:rPr>
        <w:tab/>
      </w:r>
      <w:r w:rsidR="002E2A72" w:rsidRPr="002E2A72">
        <w:rPr>
          <w:rFonts w:ascii="Arial" w:hAnsi="Arial" w:cs="Arial"/>
          <w:b/>
          <w:sz w:val="22"/>
          <w:szCs w:val="22"/>
        </w:rPr>
        <w:t>R1-191</w:t>
      </w:r>
      <w:r w:rsidR="002466D0">
        <w:rPr>
          <w:rFonts w:ascii="Arial" w:hAnsi="Arial" w:cs="Arial"/>
          <w:b/>
          <w:sz w:val="22"/>
          <w:szCs w:val="22"/>
        </w:rPr>
        <w:t>1970</w:t>
      </w:r>
    </w:p>
    <w:p w14:paraId="528F347B" w14:textId="0380E6CA" w:rsidR="004F0C4D" w:rsidRDefault="00B51B94">
      <w:pPr>
        <w:tabs>
          <w:tab w:val="right" w:pos="9630"/>
        </w:tabs>
        <w:spacing w:after="0"/>
        <w:rPr>
          <w:rFonts w:ascii="Arial" w:hAnsi="Arial" w:cs="Arial"/>
          <w:b/>
          <w:sz w:val="22"/>
          <w:szCs w:val="22"/>
        </w:rPr>
      </w:pPr>
      <w:r>
        <w:rPr>
          <w:rFonts w:ascii="Arial" w:hAnsi="Arial" w:cs="Arial"/>
          <w:b/>
          <w:sz w:val="22"/>
          <w:szCs w:val="22"/>
          <w:lang w:eastAsia="zh-CN"/>
        </w:rPr>
        <w:t>Reno</w:t>
      </w:r>
      <w:r w:rsidR="00FF0C69">
        <w:rPr>
          <w:rFonts w:ascii="Arial" w:hAnsi="Arial" w:cs="Arial"/>
          <w:b/>
          <w:sz w:val="22"/>
          <w:szCs w:val="22"/>
        </w:rPr>
        <w:t xml:space="preserve">, </w:t>
      </w:r>
      <w:r>
        <w:rPr>
          <w:rFonts w:ascii="Arial" w:hAnsi="Arial" w:cs="Arial"/>
          <w:b/>
          <w:sz w:val="22"/>
          <w:szCs w:val="22"/>
        </w:rPr>
        <w:t>USA</w:t>
      </w:r>
      <w:r w:rsidR="00FF0C69">
        <w:rPr>
          <w:rFonts w:ascii="Arial" w:hAnsi="Arial" w:cs="Arial" w:hint="eastAsia"/>
          <w:b/>
          <w:sz w:val="22"/>
          <w:szCs w:val="22"/>
          <w:lang w:eastAsia="zh-CN"/>
        </w:rPr>
        <w:t xml:space="preserve">, </w:t>
      </w:r>
      <w:r w:rsidR="00FF0C69">
        <w:rPr>
          <w:rFonts w:ascii="Arial" w:hAnsi="Arial" w:cs="Arial"/>
          <w:b/>
          <w:sz w:val="22"/>
          <w:szCs w:val="22"/>
          <w:lang w:eastAsia="zh-CN"/>
        </w:rPr>
        <w:t>1</w:t>
      </w:r>
      <w:r>
        <w:rPr>
          <w:rFonts w:ascii="Arial" w:hAnsi="Arial" w:cs="Arial"/>
          <w:b/>
          <w:sz w:val="22"/>
          <w:szCs w:val="22"/>
          <w:lang w:eastAsia="zh-CN"/>
        </w:rPr>
        <w:t>8</w:t>
      </w:r>
      <w:r w:rsidR="00FF0C69">
        <w:rPr>
          <w:rFonts w:ascii="Arial" w:hAnsi="Arial" w:cs="Arial" w:hint="eastAsia"/>
          <w:b/>
          <w:sz w:val="22"/>
          <w:szCs w:val="22"/>
          <w:vertAlign w:val="superscript"/>
          <w:lang w:eastAsia="zh-CN"/>
        </w:rPr>
        <w:t>th</w:t>
      </w:r>
      <w:r w:rsidR="00FF0C69">
        <w:rPr>
          <w:rFonts w:ascii="Arial" w:hAnsi="Arial" w:cs="Arial"/>
          <w:b/>
          <w:sz w:val="22"/>
          <w:szCs w:val="22"/>
        </w:rPr>
        <w:t xml:space="preserve"> – 2</w:t>
      </w:r>
      <w:r>
        <w:rPr>
          <w:rFonts w:ascii="Arial" w:hAnsi="Arial" w:cs="Arial"/>
          <w:b/>
          <w:sz w:val="22"/>
          <w:szCs w:val="22"/>
        </w:rPr>
        <w:t>2</w:t>
      </w:r>
      <w:r w:rsidR="004977D0">
        <w:rPr>
          <w:rFonts w:ascii="Arial" w:hAnsi="Arial" w:cs="Arial"/>
          <w:b/>
          <w:sz w:val="22"/>
          <w:szCs w:val="22"/>
          <w:vertAlign w:val="superscript"/>
          <w:lang w:eastAsia="zh-CN"/>
        </w:rPr>
        <w:t>nd</w:t>
      </w:r>
      <w:r w:rsidR="00FF0C69">
        <w:rPr>
          <w:rFonts w:ascii="Arial" w:hAnsi="Arial" w:cs="Arial" w:hint="eastAsia"/>
          <w:b/>
          <w:sz w:val="22"/>
          <w:szCs w:val="22"/>
          <w:vertAlign w:val="superscript"/>
          <w:lang w:eastAsia="zh-CN"/>
        </w:rPr>
        <w:t xml:space="preserve"> </w:t>
      </w:r>
      <w:r>
        <w:rPr>
          <w:rFonts w:ascii="Arial" w:hAnsi="Arial" w:cs="Arial"/>
          <w:b/>
          <w:sz w:val="22"/>
          <w:szCs w:val="22"/>
          <w:lang w:eastAsia="zh-CN"/>
        </w:rPr>
        <w:t>November</w:t>
      </w:r>
      <w:r w:rsidR="00FF0C69">
        <w:rPr>
          <w:rFonts w:ascii="Arial" w:hAnsi="Arial" w:cs="Arial" w:hint="eastAsia"/>
          <w:b/>
          <w:sz w:val="22"/>
          <w:szCs w:val="22"/>
          <w:lang w:eastAsia="zh-CN"/>
        </w:rPr>
        <w:t>,</w:t>
      </w:r>
      <w:r w:rsidR="00FF0C69">
        <w:rPr>
          <w:rFonts w:ascii="Arial" w:hAnsi="Arial" w:cs="Arial"/>
          <w:b/>
          <w:sz w:val="22"/>
          <w:szCs w:val="22"/>
        </w:rPr>
        <w:t xml:space="preserve"> 2019</w:t>
      </w:r>
      <w:r w:rsidR="00FF0C69">
        <w:rPr>
          <w:rFonts w:ascii="Arial" w:hAnsi="Arial" w:cs="Arial"/>
          <w:b/>
          <w:sz w:val="22"/>
          <w:szCs w:val="22"/>
        </w:rPr>
        <w:tab/>
      </w:r>
    </w:p>
    <w:p w14:paraId="5ADD330A" w14:textId="77777777" w:rsidR="004F0C4D" w:rsidRDefault="004F0C4D">
      <w:pPr>
        <w:pStyle w:val="Footer"/>
        <w:jc w:val="both"/>
      </w:pPr>
    </w:p>
    <w:p w14:paraId="72FBF719" w14:textId="77777777" w:rsidR="004F0C4D" w:rsidRDefault="00FF0C69">
      <w:pPr>
        <w:tabs>
          <w:tab w:val="left" w:pos="1985"/>
        </w:tabs>
        <w:spacing w:after="0"/>
        <w:rPr>
          <w:rFonts w:ascii="Arial" w:hAnsi="Arial"/>
          <w:b/>
        </w:rPr>
      </w:pPr>
      <w:r>
        <w:rPr>
          <w:rFonts w:ascii="Arial" w:hAnsi="Arial"/>
          <w:b/>
        </w:rPr>
        <w:t xml:space="preserve">Source: </w:t>
      </w:r>
      <w:r>
        <w:rPr>
          <w:rFonts w:ascii="Arial" w:hAnsi="Arial"/>
          <w:b/>
        </w:rPr>
        <w:tab/>
        <w:t>ZTE Corporation</w:t>
      </w:r>
    </w:p>
    <w:p w14:paraId="47436C93" w14:textId="77777777" w:rsidR="004F0C4D" w:rsidRDefault="00FF0C69">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w:t>
      </w:r>
      <w:r>
        <w:rPr>
          <w:rFonts w:ascii="Arial" w:hAnsi="Arial"/>
          <w:b/>
        </w:rPr>
        <w:t xml:space="preserve">uplink </w:t>
      </w:r>
      <w:r>
        <w:rPr>
          <w:rFonts w:ascii="Arial" w:hAnsi="Arial" w:hint="eastAsia"/>
          <w:b/>
          <w:lang w:eastAsia="zh-CN"/>
        </w:rPr>
        <w:t>p</w:t>
      </w:r>
      <w:r>
        <w:rPr>
          <w:rFonts w:ascii="Arial" w:hAnsi="Arial"/>
          <w:b/>
          <w:lang w:eastAsia="zh-CN"/>
        </w:rPr>
        <w:t>ower control for NR-DC</w:t>
      </w:r>
    </w:p>
    <w:p w14:paraId="00A90BDD" w14:textId="77777777" w:rsidR="004F0C4D" w:rsidRDefault="00FF0C69">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b/>
          <w:lang w:eastAsia="zh-CN"/>
        </w:rPr>
        <w:t>1</w:t>
      </w:r>
    </w:p>
    <w:p w14:paraId="7038C332" w14:textId="77777777" w:rsidR="004F0C4D" w:rsidRDefault="00FF0C6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4CA551EC" w14:textId="77777777" w:rsidR="004F0C4D" w:rsidRDefault="00FF0C69">
      <w:pPr>
        <w:pStyle w:val="Heading1"/>
        <w:textAlignment w:val="auto"/>
      </w:pPr>
      <w:bookmarkStart w:id="2" w:name="_Ref4817"/>
      <w:r>
        <w:t>Introduction</w:t>
      </w:r>
      <w:bookmarkEnd w:id="0"/>
      <w:bookmarkEnd w:id="2"/>
    </w:p>
    <w:p w14:paraId="79500FE4" w14:textId="63643C98" w:rsidR="004F0C4D" w:rsidRPr="00E85155" w:rsidRDefault="00FF0C69">
      <w:pPr>
        <w:rPr>
          <w:lang w:val="en-GB"/>
        </w:rPr>
      </w:pPr>
      <w:r>
        <w:rPr>
          <w:lang w:val="en-GB"/>
        </w:rPr>
        <w:t>During RAN1#98</w:t>
      </w:r>
      <w:r w:rsidR="00E85155">
        <w:rPr>
          <w:lang w:val="en-GB"/>
        </w:rPr>
        <w:t xml:space="preserve">bis meeting, power control for NR-DC made a good progress on both semi-static power sharing and dynamic power sharing. In this contribution, we present our analysis on the remaining issues for NR-DC power control. </w:t>
      </w:r>
    </w:p>
    <w:p w14:paraId="0F7E97AA" w14:textId="01D36264" w:rsidR="004F0C4D" w:rsidRDefault="00E85155">
      <w:pPr>
        <w:pStyle w:val="Heading1"/>
        <w:rPr>
          <w:lang w:val="en-US" w:eastAsia="zh-CN"/>
        </w:rPr>
      </w:pPr>
      <w:r>
        <w:rPr>
          <w:lang w:val="en-US" w:eastAsia="zh-CN"/>
        </w:rPr>
        <w:t>Semi-static</w:t>
      </w:r>
      <w:r w:rsidR="00FF0C69" w:rsidRPr="0009656B">
        <w:rPr>
          <w:lang w:val="en-US" w:eastAsia="zh-CN"/>
        </w:rPr>
        <w:t xml:space="preserve"> power sharing</w:t>
      </w:r>
    </w:p>
    <w:p w14:paraId="2572532C" w14:textId="745E2584" w:rsidR="00E85155" w:rsidRDefault="00E85155" w:rsidP="00E85155">
      <w:pPr>
        <w:rPr>
          <w:lang w:eastAsia="zh-CN"/>
        </w:rPr>
      </w:pPr>
      <w:r>
        <w:rPr>
          <w:rFonts w:hint="eastAsia"/>
          <w:lang w:eastAsia="zh-CN"/>
        </w:rPr>
        <w:t>F</w:t>
      </w:r>
      <w:r>
        <w:rPr>
          <w:lang w:eastAsia="zh-CN"/>
        </w:rPr>
        <w:t>or dynamic power sharing, the following agreements have been made in R</w:t>
      </w:r>
      <w:r w:rsidR="00C37C37">
        <w:rPr>
          <w:lang w:eastAsia="zh-CN"/>
        </w:rPr>
        <w:t>el-16. With these agreements, most of the semi-static power sharing issues have been settled down. Below, we discuss some remaining issues on semi-static power sharing.</w:t>
      </w:r>
    </w:p>
    <w:tbl>
      <w:tblPr>
        <w:tblStyle w:val="TableGrid"/>
        <w:tblW w:w="0" w:type="auto"/>
        <w:tblLook w:val="04A0" w:firstRow="1" w:lastRow="0" w:firstColumn="1" w:lastColumn="0" w:noHBand="0" w:noVBand="1"/>
      </w:tblPr>
      <w:tblGrid>
        <w:gridCol w:w="9628"/>
      </w:tblGrid>
      <w:tr w:rsidR="00E85155" w14:paraId="0ED4C3E8" w14:textId="77777777" w:rsidTr="00E85155">
        <w:tc>
          <w:tcPr>
            <w:tcW w:w="9628" w:type="dxa"/>
          </w:tcPr>
          <w:p w14:paraId="0575CECC" w14:textId="77777777" w:rsidR="00E85155" w:rsidRDefault="00E85155" w:rsidP="00C37C37">
            <w:pPr>
              <w:spacing w:before="0" w:after="0" w:line="240" w:lineRule="auto"/>
              <w:outlineLvl w:val="4"/>
              <w:rPr>
                <w:b/>
                <w:u w:val="single"/>
                <w:lang w:eastAsia="ja-JP"/>
              </w:rPr>
            </w:pPr>
            <w:r w:rsidRPr="00B317FD">
              <w:rPr>
                <w:b/>
                <w:u w:val="single"/>
                <w:lang w:eastAsia="ja-JP"/>
              </w:rPr>
              <w:t>RAN1-98 (August 2019)</w:t>
            </w:r>
          </w:p>
          <w:p w14:paraId="4CEFFAAE" w14:textId="77777777" w:rsidR="00E85155" w:rsidRPr="00FD7847" w:rsidRDefault="00E85155" w:rsidP="00C37C37">
            <w:pPr>
              <w:spacing w:before="0" w:after="0" w:line="240" w:lineRule="auto"/>
              <w:outlineLvl w:val="4"/>
              <w:rPr>
                <w:b/>
                <w:u w:val="single"/>
                <w:lang w:eastAsia="ja-JP"/>
              </w:rPr>
            </w:pPr>
            <w:r w:rsidRPr="00FD5C86">
              <w:rPr>
                <w:b/>
                <w:highlight w:val="green"/>
                <w:u w:val="single"/>
                <w:lang w:eastAsia="ja-JP"/>
              </w:rPr>
              <w:t>Agreements:</w:t>
            </w:r>
            <w:r>
              <w:rPr>
                <w:b/>
                <w:u w:val="single"/>
                <w:lang w:eastAsia="ja-JP"/>
              </w:rPr>
              <w:t xml:space="preserve"> </w:t>
            </w:r>
            <w:r w:rsidRPr="00FD7847">
              <w:rPr>
                <w:bCs/>
              </w:rPr>
              <w:t>Slide 3 of R1-1909864 is agreed:</w:t>
            </w:r>
          </w:p>
          <w:p w14:paraId="2D70C040" w14:textId="77777777" w:rsidR="00E85155" w:rsidRDefault="00E85155" w:rsidP="00C37C37">
            <w:pPr>
              <w:pStyle w:val="ListParagraph"/>
              <w:numPr>
                <w:ilvl w:val="1"/>
                <w:numId w:val="19"/>
              </w:numPr>
              <w:spacing w:before="0" w:after="0" w:line="240" w:lineRule="auto"/>
              <w:ind w:left="720"/>
              <w:contextualSpacing/>
              <w:jc w:val="left"/>
              <w:rPr>
                <w:bCs/>
              </w:rPr>
            </w:pPr>
          </w:p>
          <w:p w14:paraId="598C2553" w14:textId="77777777" w:rsidR="00E85155" w:rsidRPr="00FD7847" w:rsidRDefault="00E85155" w:rsidP="00C37C37">
            <w:pPr>
              <w:pStyle w:val="ListParagraph"/>
              <w:widowControl w:val="0"/>
              <w:numPr>
                <w:ilvl w:val="0"/>
                <w:numId w:val="20"/>
              </w:numPr>
              <w:spacing w:before="0" w:after="0" w:line="240" w:lineRule="auto"/>
              <w:ind w:leftChars="400" w:left="1160"/>
              <w:rPr>
                <w:bCs/>
              </w:rPr>
            </w:pPr>
            <w:r w:rsidRPr="00FD7847">
              <w:rPr>
                <w:bCs/>
                <w:highlight w:val="green"/>
              </w:rPr>
              <w:t xml:space="preserve">[Offline consensus] </w:t>
            </w:r>
            <w:r w:rsidRPr="00FD7847">
              <w:rPr>
                <w:bCs/>
              </w:rPr>
              <w:t xml:space="preserve">Considering the following two alternatives for semi-static power sharing with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p>
          <w:p w14:paraId="7080C554" w14:textId="77777777" w:rsidR="00E85155" w:rsidRPr="00FD7847" w:rsidRDefault="00E85155" w:rsidP="00C37C37">
            <w:pPr>
              <w:pStyle w:val="ListParagraph"/>
              <w:widowControl w:val="0"/>
              <w:numPr>
                <w:ilvl w:val="2"/>
                <w:numId w:val="20"/>
              </w:numPr>
              <w:spacing w:before="0" w:after="0" w:line="240" w:lineRule="auto"/>
              <w:rPr>
                <w:bCs/>
              </w:rPr>
            </w:pPr>
            <w:r w:rsidRPr="00FD7847">
              <w:rPr>
                <w:bCs/>
              </w:rPr>
              <w:t>Alt.1: For the uplink transmission in MCG, the UE checks the semi-statically configured direction of the overlapping symbols of all serving cells of SCG, and vice versa.</w:t>
            </w:r>
          </w:p>
          <w:p w14:paraId="171F221A" w14:textId="77777777" w:rsidR="00E85155" w:rsidRPr="00FD7847" w:rsidRDefault="00E85155" w:rsidP="00C37C37">
            <w:pPr>
              <w:pStyle w:val="ListParagraph"/>
              <w:widowControl w:val="0"/>
              <w:numPr>
                <w:ilvl w:val="3"/>
                <w:numId w:val="20"/>
              </w:numPr>
              <w:spacing w:before="0" w:after="0" w:line="240" w:lineRule="auto"/>
              <w:rPr>
                <w:bCs/>
              </w:rPr>
            </w:pPr>
            <w:r w:rsidRPr="00FD7847">
              <w:rPr>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in MCG such that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w:p>
          <w:p w14:paraId="206BF938" w14:textId="77777777" w:rsidR="00E85155" w:rsidRPr="00FD7847" w:rsidRDefault="00E85155" w:rsidP="00C37C37">
            <w:pPr>
              <w:pStyle w:val="ListParagraph"/>
              <w:widowControl w:val="0"/>
              <w:numPr>
                <w:ilvl w:val="3"/>
                <w:numId w:val="20"/>
              </w:numPr>
              <w:spacing w:before="0" w:after="0" w:line="240" w:lineRule="auto"/>
              <w:rPr>
                <w:bCs/>
              </w:rPr>
            </w:pPr>
            <w:r w:rsidRPr="00FD7847">
              <w:rPr>
                <w:bCs/>
              </w:rPr>
              <w:t xml:space="preserve">Otherwise (i.e. collides with only semi-static ‘DL’ symbols on all CCs of SCG),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can be up to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can be up to </w:t>
            </w:r>
            <m:oMath>
              <m:r>
                <m:rPr>
                  <m:sty m:val="p"/>
                </m:rPr>
                <w:rPr>
                  <w:rFonts w:ascii="Cambria Math" w:hAnsi="Cambria Math"/>
                </w:rPr>
                <m:t> </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w:t>
            </w:r>
          </w:p>
          <w:p w14:paraId="69448E8A" w14:textId="77777777" w:rsidR="00E85155" w:rsidRPr="00FD7847" w:rsidRDefault="00E85155" w:rsidP="00C37C37">
            <w:pPr>
              <w:pStyle w:val="ListParagraph"/>
              <w:widowControl w:val="0"/>
              <w:numPr>
                <w:ilvl w:val="4"/>
                <w:numId w:val="20"/>
              </w:numPr>
              <w:spacing w:before="0" w:after="0" w:line="240" w:lineRule="auto"/>
              <w:rPr>
                <w:bCs/>
              </w:rPr>
            </w:pPr>
            <w:r w:rsidRPr="00FD7847">
              <w:rPr>
                <w:bCs/>
              </w:rPr>
              <w:t xml:space="preserve">Alt.1-1: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configured by RRC signaling. </w:t>
            </w:r>
          </w:p>
          <w:p w14:paraId="061D42FE" w14:textId="77777777" w:rsidR="00E85155" w:rsidRPr="00FD7847" w:rsidRDefault="00E85155" w:rsidP="00C37C37">
            <w:pPr>
              <w:pStyle w:val="ListParagraph"/>
              <w:widowControl w:val="0"/>
              <w:numPr>
                <w:ilvl w:val="4"/>
                <w:numId w:val="20"/>
              </w:numPr>
              <w:spacing w:before="0" w:after="0" w:line="240" w:lineRule="auto"/>
              <w:rPr>
                <w:bCs/>
              </w:rPr>
            </w:pPr>
            <w:r w:rsidRPr="00FD7847">
              <w:rPr>
                <w:bCs/>
              </w:rPr>
              <w:t xml:space="preserve">Alt.1-2: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determined by RAN4 requirement. </w:t>
            </w:r>
          </w:p>
          <w:p w14:paraId="2B9FAB3E" w14:textId="77777777" w:rsidR="00E85155" w:rsidRPr="00FD7847" w:rsidRDefault="00E85155" w:rsidP="00C37C37">
            <w:pPr>
              <w:pStyle w:val="ListParagraph"/>
              <w:widowControl w:val="0"/>
              <w:numPr>
                <w:ilvl w:val="2"/>
                <w:numId w:val="20"/>
              </w:numPr>
              <w:spacing w:before="0" w:after="0" w:line="240" w:lineRule="auto"/>
              <w:rPr>
                <w:bCs/>
              </w:rPr>
            </w:pPr>
            <w:r w:rsidRPr="00FD7847">
              <w:rPr>
                <w:bCs/>
              </w:rPr>
              <w:t xml:space="preserve">Alt.2: For the uplink transmission in MCG and in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to be up to</w:t>
            </w:r>
            <m:oMath>
              <m:sSub>
                <m:sSubPr>
                  <m:ctrlPr>
                    <w:rPr>
                      <w:rFonts w:ascii="Cambria Math" w:hAnsi="Cambria Math"/>
                      <w:bCs/>
                      <w:i/>
                      <w:iCs/>
                    </w:rPr>
                  </m:ctrlPr>
                </m:sSubPr>
                <m:e>
                  <m:r>
                    <m:rPr>
                      <m:sty m:val="p"/>
                    </m:rPr>
                    <w:rPr>
                      <w:rFonts w:ascii="Cambria Math" w:hAnsi="Cambria Math"/>
                    </w:rPr>
                    <m:t> P</m:t>
                  </m:r>
                </m:e>
                <m:sub>
                  <m:r>
                    <m:rPr>
                      <m:sty m:val="p"/>
                    </m:rPr>
                    <w:rPr>
                      <w:rFonts w:ascii="Cambria Math" w:hAnsi="Cambria Math"/>
                    </w:rPr>
                    <m:t>MCG</m:t>
                  </m:r>
                </m:sub>
              </m:sSub>
            </m:oMath>
            <w:r w:rsidRPr="00FD7847">
              <w:rPr>
                <w:bCs/>
              </w:rPr>
              <w:t xml:space="preserve">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to be up to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p>
          <w:p w14:paraId="2281DE85" w14:textId="77777777" w:rsidR="00E85155" w:rsidRDefault="00E85155" w:rsidP="00C37C37">
            <w:pPr>
              <w:spacing w:before="0" w:after="0" w:line="240" w:lineRule="auto"/>
              <w:rPr>
                <w:lang w:val="en-GB" w:eastAsia="zh-CN"/>
              </w:rPr>
            </w:pPr>
          </w:p>
          <w:p w14:paraId="6B425341" w14:textId="77777777" w:rsidR="00E85155" w:rsidRDefault="00E85155" w:rsidP="00C37C37">
            <w:pPr>
              <w:spacing w:before="0" w:after="0" w:line="240" w:lineRule="auto"/>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6A80D4A1" w14:textId="77777777" w:rsidR="00E85155" w:rsidRPr="00BD57AE" w:rsidRDefault="00E85155" w:rsidP="00C37C37">
            <w:pPr>
              <w:spacing w:before="0" w:after="0" w:line="240" w:lineRule="auto"/>
              <w:rPr>
                <w:b/>
                <w:bCs/>
                <w:lang w:eastAsia="x-none"/>
              </w:rPr>
            </w:pPr>
            <w:r w:rsidRPr="00BD57AE">
              <w:rPr>
                <w:highlight w:val="green"/>
                <w:lang w:eastAsia="x-none"/>
              </w:rPr>
              <w:t>Agreements</w:t>
            </w:r>
            <w:r w:rsidRPr="00BD57AE">
              <w:rPr>
                <w:b/>
                <w:bCs/>
                <w:lang w:eastAsia="x-none"/>
              </w:rPr>
              <w:t>:</w:t>
            </w:r>
          </w:p>
          <w:p w14:paraId="6B6A139B" w14:textId="77777777" w:rsidR="00E85155" w:rsidRPr="00BD57AE" w:rsidRDefault="00E85155" w:rsidP="00C37C37">
            <w:pPr>
              <w:pStyle w:val="ListParagraph"/>
              <w:numPr>
                <w:ilvl w:val="0"/>
                <w:numId w:val="21"/>
              </w:numPr>
              <w:overflowPunct w:val="0"/>
              <w:autoSpaceDE w:val="0"/>
              <w:autoSpaceDN w:val="0"/>
              <w:adjustRightInd w:val="0"/>
              <w:spacing w:before="0" w:after="0" w:line="240" w:lineRule="auto"/>
              <w:contextualSpacing/>
              <w:jc w:val="left"/>
              <w:rPr>
                <w:rFonts w:ascii="Arial" w:hAnsi="Arial" w:cs="Arial"/>
              </w:rPr>
            </w:pPr>
            <w:r w:rsidRPr="00BD57AE">
              <w:rPr>
                <w:rFonts w:ascii="Arial" w:hAnsi="Arial" w:cs="Arial"/>
              </w:rPr>
              <w:t>Adopt Alt.1-2 and Alt.2 for semi-static power sharing for NR-NR DC.</w:t>
            </w:r>
          </w:p>
          <w:p w14:paraId="5F7F0975" w14:textId="77777777" w:rsidR="00E85155" w:rsidRPr="00BD57AE" w:rsidRDefault="00E85155" w:rsidP="00C37C37">
            <w:pPr>
              <w:pStyle w:val="ListParagraph"/>
              <w:numPr>
                <w:ilvl w:val="1"/>
                <w:numId w:val="21"/>
              </w:numPr>
              <w:overflowPunct w:val="0"/>
              <w:autoSpaceDE w:val="0"/>
              <w:autoSpaceDN w:val="0"/>
              <w:adjustRightInd w:val="0"/>
              <w:spacing w:before="0" w:after="0" w:line="240" w:lineRule="auto"/>
              <w:contextualSpacing/>
              <w:jc w:val="left"/>
              <w:rPr>
                <w:rFonts w:ascii="Arial" w:hAnsi="Arial" w:cs="Arial"/>
              </w:rPr>
            </w:pPr>
            <w:r w:rsidRPr="00BD57AE">
              <w:rPr>
                <w:rFonts w:ascii="Arial" w:hAnsi="Arial" w:cs="Arial"/>
              </w:rPr>
              <w:t xml:space="preserve">Alt.1-2 is only subject to configured maximum transmission power defined by RAN4 </w:t>
            </w:r>
          </w:p>
          <w:p w14:paraId="279AB9ED" w14:textId="77777777" w:rsidR="00E85155" w:rsidRPr="00BD57AE" w:rsidRDefault="00E85155" w:rsidP="00C37C37">
            <w:pPr>
              <w:pStyle w:val="ListParagraph"/>
              <w:numPr>
                <w:ilvl w:val="1"/>
                <w:numId w:val="21"/>
              </w:numPr>
              <w:overflowPunct w:val="0"/>
              <w:autoSpaceDE w:val="0"/>
              <w:autoSpaceDN w:val="0"/>
              <w:adjustRightInd w:val="0"/>
              <w:spacing w:before="0" w:after="0" w:line="240" w:lineRule="auto"/>
              <w:contextualSpacing/>
              <w:jc w:val="left"/>
              <w:rPr>
                <w:rFonts w:ascii="Arial" w:hAnsi="Arial" w:cs="Arial"/>
              </w:rPr>
            </w:pPr>
            <w:r w:rsidRPr="00BD57AE">
              <w:rPr>
                <w:rFonts w:ascii="Arial" w:hAnsi="Arial" w:cs="Arial"/>
              </w:rPr>
              <w:t>Configuration between Alt.1-2 and Alt.2 is supported.</w:t>
            </w:r>
          </w:p>
          <w:p w14:paraId="75DB8C91" w14:textId="77777777" w:rsidR="00E85155" w:rsidRPr="00BD57AE" w:rsidRDefault="00E85155" w:rsidP="00C37C37">
            <w:pPr>
              <w:pStyle w:val="ListParagraph"/>
              <w:numPr>
                <w:ilvl w:val="1"/>
                <w:numId w:val="21"/>
              </w:numPr>
              <w:overflowPunct w:val="0"/>
              <w:autoSpaceDE w:val="0"/>
              <w:autoSpaceDN w:val="0"/>
              <w:adjustRightInd w:val="0"/>
              <w:spacing w:before="0" w:after="0" w:line="240" w:lineRule="auto"/>
              <w:contextualSpacing/>
              <w:jc w:val="left"/>
              <w:rPr>
                <w:rFonts w:ascii="Arial" w:hAnsi="Arial" w:cs="Arial"/>
              </w:rPr>
            </w:pPr>
            <w:r w:rsidRPr="00BD57AE">
              <w:rPr>
                <w:rFonts w:ascii="Arial" w:hAnsi="Arial" w:cs="Arial"/>
              </w:rPr>
              <w:t>FFS: add more clarification</w:t>
            </w:r>
          </w:p>
          <w:p w14:paraId="3BC0F6F4" w14:textId="77777777" w:rsidR="00E85155" w:rsidRDefault="00E85155" w:rsidP="00C37C37">
            <w:pPr>
              <w:pStyle w:val="ListParagraph"/>
              <w:numPr>
                <w:ilvl w:val="1"/>
                <w:numId w:val="21"/>
              </w:numPr>
              <w:overflowPunct w:val="0"/>
              <w:autoSpaceDE w:val="0"/>
              <w:autoSpaceDN w:val="0"/>
              <w:adjustRightInd w:val="0"/>
              <w:spacing w:before="0" w:after="0" w:line="240" w:lineRule="auto"/>
              <w:contextualSpacing/>
              <w:jc w:val="left"/>
              <w:rPr>
                <w:rFonts w:ascii="Arial" w:hAnsi="Arial" w:cs="Arial"/>
              </w:rPr>
            </w:pPr>
            <w:r w:rsidRPr="00BD57AE">
              <w:rPr>
                <w:rFonts w:ascii="Arial" w:hAnsi="Arial" w:cs="Arial"/>
              </w:rPr>
              <w:t xml:space="preserve">FFS: applied for synchronous DC only or applied for both synchronous and asynchronous DC (which may be the same or different for Alt.1-2 and Alt. 2)   </w:t>
            </w:r>
          </w:p>
          <w:p w14:paraId="3AC5D5AD" w14:textId="77777777" w:rsidR="00E85155" w:rsidRPr="0090772E" w:rsidRDefault="00E85155" w:rsidP="00C37C37">
            <w:pPr>
              <w:spacing w:before="0" w:after="0" w:line="240" w:lineRule="auto"/>
              <w:rPr>
                <w:highlight w:val="green"/>
                <w:lang w:eastAsia="x-none"/>
              </w:rPr>
            </w:pPr>
            <w:r w:rsidRPr="0090772E">
              <w:rPr>
                <w:highlight w:val="green"/>
                <w:lang w:eastAsia="x-none"/>
              </w:rPr>
              <w:t>Agreements:</w:t>
            </w:r>
          </w:p>
          <w:p w14:paraId="52A329C9" w14:textId="77777777" w:rsidR="00E85155" w:rsidRPr="0090772E" w:rsidRDefault="00E85155" w:rsidP="00C37C37">
            <w:pPr>
              <w:numPr>
                <w:ilvl w:val="0"/>
                <w:numId w:val="21"/>
              </w:numPr>
              <w:overflowPunct/>
              <w:autoSpaceDE/>
              <w:autoSpaceDN/>
              <w:adjustRightInd/>
              <w:spacing w:before="0" w:after="0" w:line="240" w:lineRule="auto"/>
              <w:jc w:val="left"/>
              <w:textAlignment w:val="auto"/>
              <w:rPr>
                <w:rFonts w:ascii="Arial" w:hAnsi="Arial" w:cs="Arial"/>
                <w:strike/>
                <w:color w:val="FF0000"/>
              </w:rPr>
            </w:pPr>
            <w:r w:rsidRPr="0090772E">
              <w:rPr>
                <w:rFonts w:ascii="Arial" w:hAnsi="Arial" w:cs="Arial"/>
              </w:rPr>
              <w:t>For semi-static power sharing for NR-NR DC</w:t>
            </w:r>
            <w:r w:rsidRPr="0090772E">
              <w:rPr>
                <w:rFonts w:ascii="Arial" w:hAnsi="Arial" w:cs="Arial"/>
                <w:strike/>
                <w:color w:val="FF0000"/>
              </w:rPr>
              <w:t>, to down-select during this week:</w:t>
            </w:r>
          </w:p>
          <w:p w14:paraId="5886D8FD" w14:textId="77777777" w:rsidR="00E85155" w:rsidRPr="0090772E" w:rsidRDefault="00E85155" w:rsidP="00C37C37">
            <w:pPr>
              <w:numPr>
                <w:ilvl w:val="1"/>
                <w:numId w:val="21"/>
              </w:numPr>
              <w:overflowPunct/>
              <w:autoSpaceDE/>
              <w:autoSpaceDN/>
              <w:adjustRightInd/>
              <w:spacing w:before="0" w:after="0" w:line="240" w:lineRule="auto"/>
              <w:jc w:val="left"/>
              <w:textAlignment w:val="auto"/>
              <w:rPr>
                <w:rFonts w:ascii="Arial" w:hAnsi="Arial" w:cs="Arial"/>
                <w:strike/>
                <w:color w:val="FF0000"/>
              </w:rPr>
            </w:pPr>
            <w:r w:rsidRPr="0090772E">
              <w:rPr>
                <w:rFonts w:ascii="Arial" w:hAnsi="Arial" w:cs="Arial"/>
                <w:strike/>
                <w:color w:val="FF0000"/>
              </w:rPr>
              <w:t>Alt 1: no PHR is reported in a CG for the other CG</w:t>
            </w:r>
          </w:p>
          <w:p w14:paraId="483F3B00" w14:textId="77777777" w:rsidR="00E85155" w:rsidRPr="0090772E" w:rsidRDefault="00E85155" w:rsidP="00C37C37">
            <w:pPr>
              <w:numPr>
                <w:ilvl w:val="1"/>
                <w:numId w:val="21"/>
              </w:numPr>
              <w:overflowPunct/>
              <w:autoSpaceDE/>
              <w:autoSpaceDN/>
              <w:adjustRightInd/>
              <w:spacing w:before="0" w:after="0" w:line="240" w:lineRule="auto"/>
              <w:jc w:val="left"/>
              <w:textAlignment w:val="auto"/>
              <w:rPr>
                <w:rFonts w:ascii="Arial" w:hAnsi="Arial" w:cs="Arial"/>
              </w:rPr>
            </w:pPr>
            <w:r w:rsidRPr="0090772E">
              <w:rPr>
                <w:rFonts w:ascii="Arial" w:hAnsi="Arial" w:cs="Arial"/>
                <w:strike/>
                <w:color w:val="FF0000"/>
              </w:rPr>
              <w:t>Alt 2:</w:t>
            </w:r>
            <w:r w:rsidRPr="0090772E">
              <w:rPr>
                <w:rFonts w:ascii="Arial" w:hAnsi="Arial" w:cs="Arial"/>
                <w:color w:val="FF0000"/>
              </w:rPr>
              <w:t xml:space="preserve"> </w:t>
            </w:r>
            <w:r w:rsidRPr="0090772E">
              <w:rPr>
                <w:rFonts w:ascii="Arial" w:hAnsi="Arial" w:cs="Arial"/>
              </w:rPr>
              <w:t>Virtual PHR for active CCs of another CG</w:t>
            </w:r>
          </w:p>
          <w:p w14:paraId="0633DDE8" w14:textId="441713B8" w:rsidR="00E85155" w:rsidRPr="00E85155" w:rsidRDefault="00E85155" w:rsidP="00C37C37">
            <w:pPr>
              <w:spacing w:before="0" w:after="0" w:line="240" w:lineRule="auto"/>
              <w:rPr>
                <w:rFonts w:ascii="Arial" w:hAnsi="Arial" w:cs="Arial"/>
              </w:rPr>
            </w:pPr>
            <w:r w:rsidRPr="0090772E">
              <w:rPr>
                <w:rFonts w:ascii="Arial" w:hAnsi="Arial" w:cs="Arial"/>
              </w:rPr>
              <w:t>(The above change is the update on Wed.)</w:t>
            </w:r>
          </w:p>
        </w:tc>
      </w:tr>
    </w:tbl>
    <w:p w14:paraId="26DEEC68" w14:textId="77777777" w:rsidR="00E85155" w:rsidRDefault="00E85155" w:rsidP="00E85155">
      <w:pPr>
        <w:rPr>
          <w:lang w:eastAsia="zh-CN"/>
        </w:rPr>
      </w:pPr>
    </w:p>
    <w:p w14:paraId="2DED8559" w14:textId="584C869E" w:rsidR="00E85155" w:rsidRDefault="00C37C37" w:rsidP="00E85155">
      <w:pPr>
        <w:rPr>
          <w:lang w:eastAsia="zh-CN"/>
        </w:rPr>
      </w:pPr>
      <w:r>
        <w:rPr>
          <w:rFonts w:hint="eastAsia"/>
          <w:lang w:eastAsia="zh-CN"/>
        </w:rPr>
        <w:t>T</w:t>
      </w:r>
      <w:r>
        <w:rPr>
          <w:lang w:eastAsia="zh-CN"/>
        </w:rPr>
        <w:t xml:space="preserve">he first issue is </w:t>
      </w:r>
      <w:r w:rsidR="00C03C51">
        <w:rPr>
          <w:lang w:eastAsia="zh-CN"/>
        </w:rPr>
        <w:t>whether Alt1-2 and Alt 2 are applicable to asynchronous or not</w:t>
      </w:r>
      <w:r>
        <w:rPr>
          <w:lang w:eastAsia="zh-CN"/>
        </w:rPr>
        <w:t>.</w:t>
      </w:r>
      <w:r w:rsidR="00C03C51">
        <w:rPr>
          <w:lang w:eastAsia="zh-CN"/>
        </w:rPr>
        <w:t xml:space="preserve"> First of all, Alt 2 is applicable to both synchronous NR-DC and asynchronous NR-DC. Alt 1-2 requires UE to check the semi-static uplink/downlink direction in the other CG. If UE is capable of determining the timing offset (e.g., time shift) between MCG and SCG, UE is capable of determining the semi-static uplink/downlink direction of the other CG in asynchronous NR-DC. However, it seems there is no explicit UE capability report to indicate whether UE supports of determining the timing offset between MCG and SCG or not. One UE capability </w:t>
      </w:r>
      <w:proofErr w:type="spellStart"/>
      <w:r w:rsidR="00C03C51" w:rsidRPr="00C03C51">
        <w:rPr>
          <w:i/>
          <w:lang w:eastAsia="zh-CN"/>
        </w:rPr>
        <w:t>sftd-MeasPSCell</w:t>
      </w:r>
      <w:proofErr w:type="spellEnd"/>
      <w:r w:rsidR="00C03C51">
        <w:rPr>
          <w:lang w:eastAsia="zh-CN"/>
        </w:rPr>
        <w:t xml:space="preserve"> related to SFTD measurement may be reused for this case. </w:t>
      </w:r>
      <w:r w:rsidR="00D77618">
        <w:rPr>
          <w:lang w:eastAsia="zh-CN"/>
        </w:rPr>
        <w:t xml:space="preserve">If </w:t>
      </w:r>
      <w:proofErr w:type="spellStart"/>
      <w:r w:rsidR="00D77618" w:rsidRPr="008B357E">
        <w:rPr>
          <w:i/>
          <w:lang w:eastAsia="zh-CN"/>
        </w:rPr>
        <w:t>sftd-MeasPSCell</w:t>
      </w:r>
      <w:proofErr w:type="spellEnd"/>
      <w:r w:rsidR="00D77618">
        <w:rPr>
          <w:lang w:eastAsia="zh-CN"/>
        </w:rPr>
        <w:t xml:space="preserve"> is included in UE-NR-Capability, it indicates that the UE supports SFTD measurement between </w:t>
      </w:r>
      <w:proofErr w:type="spellStart"/>
      <w:r w:rsidR="00D77618">
        <w:rPr>
          <w:lang w:eastAsia="zh-CN"/>
        </w:rPr>
        <w:t>PCell</w:t>
      </w:r>
      <w:proofErr w:type="spellEnd"/>
      <w:r w:rsidR="00D77618">
        <w:rPr>
          <w:lang w:eastAsia="zh-CN"/>
        </w:rPr>
        <w:t xml:space="preserve"> and </w:t>
      </w:r>
      <w:proofErr w:type="spellStart"/>
      <w:r w:rsidR="00D77618">
        <w:rPr>
          <w:lang w:eastAsia="zh-CN"/>
        </w:rPr>
        <w:lastRenderedPageBreak/>
        <w:t>PSCell</w:t>
      </w:r>
      <w:proofErr w:type="spellEnd"/>
      <w:r w:rsidR="00D77618">
        <w:rPr>
          <w:lang w:eastAsia="zh-CN"/>
        </w:rPr>
        <w:t xml:space="preserve"> in NR-DC. Thus, </w:t>
      </w:r>
      <w:proofErr w:type="spellStart"/>
      <w:r w:rsidR="00D77618" w:rsidRPr="00C03C51">
        <w:rPr>
          <w:i/>
          <w:lang w:eastAsia="zh-CN"/>
        </w:rPr>
        <w:t>sftd-MeasPSCell</w:t>
      </w:r>
      <w:proofErr w:type="spellEnd"/>
      <w:r w:rsidR="00D77618">
        <w:rPr>
          <w:lang w:eastAsia="zh-CN"/>
        </w:rPr>
        <w:t xml:space="preserve"> can be an implicit indication to indicate whether UE supports determining the timing offset between MCG and SCG or not.</w:t>
      </w:r>
    </w:p>
    <w:p w14:paraId="7063BC6C" w14:textId="67203350" w:rsidR="00D77618" w:rsidRPr="00D77618" w:rsidRDefault="00D77618" w:rsidP="00E85155">
      <w:pPr>
        <w:rPr>
          <w:i/>
          <w:lang w:eastAsia="zh-CN"/>
        </w:rPr>
      </w:pPr>
      <w:r w:rsidRPr="00D77618">
        <w:rPr>
          <w:rFonts w:hint="eastAsia"/>
          <w:b/>
          <w:i/>
          <w:lang w:eastAsia="zh-CN"/>
        </w:rPr>
        <w:t>O</w:t>
      </w:r>
      <w:r w:rsidRPr="00D77618">
        <w:rPr>
          <w:b/>
          <w:i/>
          <w:lang w:eastAsia="zh-CN"/>
        </w:rPr>
        <w:t xml:space="preserve">bservation 1: </w:t>
      </w:r>
      <w:r w:rsidRPr="00D77618">
        <w:rPr>
          <w:i/>
          <w:lang w:eastAsia="zh-CN"/>
        </w:rPr>
        <w:t xml:space="preserve">Alt 1-2 </w:t>
      </w:r>
      <w:r>
        <w:rPr>
          <w:i/>
          <w:lang w:eastAsia="zh-CN"/>
        </w:rPr>
        <w:t xml:space="preserve">is applicable to </w:t>
      </w:r>
      <w:r w:rsidRPr="00D77618">
        <w:rPr>
          <w:i/>
          <w:lang w:eastAsia="zh-CN"/>
        </w:rPr>
        <w:t>asynchronous NR-DC</w:t>
      </w:r>
      <w:r>
        <w:rPr>
          <w:i/>
          <w:lang w:eastAsia="zh-CN"/>
        </w:rPr>
        <w:t xml:space="preserve"> network</w:t>
      </w:r>
      <w:r w:rsidRPr="00D77618">
        <w:rPr>
          <w:i/>
          <w:lang w:eastAsia="zh-CN"/>
        </w:rPr>
        <w:t xml:space="preserve"> if </w:t>
      </w:r>
      <w:r>
        <w:rPr>
          <w:i/>
          <w:lang w:eastAsia="zh-CN"/>
        </w:rPr>
        <w:t xml:space="preserve">the </w:t>
      </w:r>
      <w:r w:rsidRPr="00D77618">
        <w:rPr>
          <w:i/>
          <w:lang w:eastAsia="zh-CN"/>
        </w:rPr>
        <w:t xml:space="preserve">UE supports determining the timing offset between MCG and SCG. UE capability </w:t>
      </w:r>
      <w:proofErr w:type="spellStart"/>
      <w:r w:rsidRPr="00D77618">
        <w:rPr>
          <w:i/>
          <w:lang w:eastAsia="zh-CN"/>
        </w:rPr>
        <w:t>sftd-MeasPSCell</w:t>
      </w:r>
      <w:proofErr w:type="spellEnd"/>
      <w:r w:rsidRPr="00D77618">
        <w:rPr>
          <w:i/>
          <w:lang w:eastAsia="zh-CN"/>
        </w:rPr>
        <w:t xml:space="preserve"> can be used as an implicit indication to indicate whether UE supports determining the timing offset between MCG and SCG or not.</w:t>
      </w:r>
    </w:p>
    <w:p w14:paraId="3D405C7E" w14:textId="444198EF" w:rsidR="00D77618" w:rsidRDefault="00D77618" w:rsidP="00E85155">
      <w:pPr>
        <w:rPr>
          <w:lang w:eastAsia="zh-CN"/>
        </w:rPr>
      </w:pPr>
      <w:r>
        <w:rPr>
          <w:rFonts w:hint="eastAsia"/>
          <w:lang w:eastAsia="zh-CN"/>
        </w:rPr>
        <w:t>T</w:t>
      </w:r>
      <w:r>
        <w:rPr>
          <w:lang w:eastAsia="zh-CN"/>
        </w:rPr>
        <w:t xml:space="preserve">he second issue is how to switch between Alt 1-2 and Alt 2. </w:t>
      </w:r>
      <w:r w:rsidR="00FD5143">
        <w:rPr>
          <w:lang w:eastAsia="zh-CN"/>
        </w:rPr>
        <w:t>The most straightforward way is to introduce a one-bit RRC IE to differentiate configuration of Alt 1-2 and Alt 2, which can offer the most flexibility for network scheduling.</w:t>
      </w:r>
    </w:p>
    <w:p w14:paraId="30A6C9C9" w14:textId="1ECEA7B4" w:rsidR="00C03C51" w:rsidRPr="00FD5143" w:rsidRDefault="00FD5143" w:rsidP="00E85155">
      <w:pPr>
        <w:rPr>
          <w:i/>
          <w:lang w:eastAsia="zh-CN"/>
        </w:rPr>
      </w:pPr>
      <w:r w:rsidRPr="00FD5143">
        <w:rPr>
          <w:rFonts w:hint="eastAsia"/>
          <w:b/>
          <w:i/>
          <w:lang w:eastAsia="zh-CN"/>
        </w:rPr>
        <w:t>P</w:t>
      </w:r>
      <w:r w:rsidRPr="00FD5143">
        <w:rPr>
          <w:b/>
          <w:i/>
          <w:lang w:eastAsia="zh-CN"/>
        </w:rPr>
        <w:t>roposal 1:</w:t>
      </w:r>
      <w:r w:rsidRPr="00FD5143">
        <w:rPr>
          <w:i/>
          <w:lang w:eastAsia="zh-CN"/>
        </w:rPr>
        <w:t xml:space="preserve"> Introduce a one-bit RRC IE to differentiate configuration of Alt 1-2 and Alt 2. </w:t>
      </w:r>
    </w:p>
    <w:p w14:paraId="46BBA7C2" w14:textId="0847D79E" w:rsidR="00FD5143" w:rsidRDefault="00FD5143" w:rsidP="00FD5143">
      <w:pPr>
        <w:rPr>
          <w:iCs/>
          <w:lang w:eastAsia="zh-CN"/>
        </w:rPr>
      </w:pPr>
      <w:r w:rsidRPr="006D34A3">
        <w:rPr>
          <w:iCs/>
          <w:lang w:eastAsia="zh-CN"/>
        </w:rPr>
        <w:t xml:space="preserve">It is worth noting that </w:t>
      </w:r>
      <w:r>
        <w:rPr>
          <w:rFonts w:hint="eastAsia"/>
          <w:iCs/>
          <w:lang w:eastAsia="zh-CN"/>
        </w:rPr>
        <w:t>f</w:t>
      </w:r>
      <w:r>
        <w:rPr>
          <w:iCs/>
          <w:lang w:eastAsia="zh-CN"/>
        </w:rPr>
        <w:t>or NE-DC in Rel-15, the overlapping determination is based on the unit of one slot/</w:t>
      </w:r>
      <w:proofErr w:type="spellStart"/>
      <w:r>
        <w:rPr>
          <w:iCs/>
          <w:lang w:eastAsia="zh-CN"/>
        </w:rPr>
        <w:t>subframe</w:t>
      </w:r>
      <w:proofErr w:type="spellEnd"/>
      <w:r>
        <w:rPr>
          <w:iCs/>
          <w:lang w:eastAsia="zh-CN"/>
        </w:rPr>
        <w:t xml:space="preserve">. Even there is only one uplink/flexible symbol of one NR slot overlapping with one LTE </w:t>
      </w:r>
      <w:proofErr w:type="spellStart"/>
      <w:r>
        <w:rPr>
          <w:iCs/>
          <w:lang w:eastAsia="zh-CN"/>
        </w:rPr>
        <w:t>subframe</w:t>
      </w:r>
      <w:proofErr w:type="spellEnd"/>
      <w:r>
        <w:rPr>
          <w:iCs/>
          <w:lang w:eastAsia="zh-CN"/>
        </w:rPr>
        <w:t xml:space="preserve">, the UE applies </w:t>
      </w:r>
      <w:r>
        <w:rPr>
          <w:position w:val="-10"/>
        </w:rPr>
        <w:object w:dxaOrig="439" w:dyaOrig="290" w14:anchorId="3B18E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v:imagedata r:id="rId13" o:title=""/>
          </v:shape>
          <o:OLEObject Type="Embed" ProgID="Equation.3" ShapeID="_x0000_i1025" DrawAspect="Content" ObjectID="_1634735675" r:id="rId14"/>
        </w:object>
      </w:r>
      <w:r>
        <w:rPr>
          <w:iCs/>
          <w:lang w:eastAsia="zh-CN"/>
        </w:rPr>
        <w:t xml:space="preserve"> as the maximum transmission power for all this LTE </w:t>
      </w:r>
      <w:proofErr w:type="spellStart"/>
      <w:r>
        <w:rPr>
          <w:iCs/>
          <w:lang w:eastAsia="zh-CN"/>
        </w:rPr>
        <w:t>subframe</w:t>
      </w:r>
      <w:proofErr w:type="spellEnd"/>
      <w:r>
        <w:rPr>
          <w:iCs/>
          <w:lang w:eastAsia="zh-CN"/>
        </w:rPr>
        <w:t>. For Alt 1-2 of semi-static power sharing, whether to adopt slot-level, transmission-level or symbol-level overlapping determination should be further discussed.</w:t>
      </w:r>
    </w:p>
    <w:p w14:paraId="2FFB363C" w14:textId="4E9F5059" w:rsidR="00FD5143" w:rsidRPr="00FD5143" w:rsidRDefault="00FD5143" w:rsidP="00FD5143">
      <w:pPr>
        <w:rPr>
          <w:iCs/>
          <w:lang w:eastAsia="zh-CN"/>
        </w:rPr>
      </w:pPr>
      <w:r>
        <w:rPr>
          <w:iCs/>
          <w:lang w:eastAsia="zh-CN"/>
        </w:rPr>
        <w:t>F</w:t>
      </w:r>
      <w:r w:rsidRPr="00FD5143">
        <w:rPr>
          <w:iCs/>
          <w:lang w:eastAsia="zh-CN"/>
        </w:rPr>
        <w:t>or NR, we think the overlapping determination may be better to base on a per uplink transmission level. If we go with slot-level overlapping determination, it may be too rough. While if we go with symbol-level overlapping determination, it may cause phase discontinuity.</w:t>
      </w:r>
    </w:p>
    <w:p w14:paraId="69BFFA45" w14:textId="5008D59B" w:rsidR="00FD5143" w:rsidRPr="00FD5143" w:rsidRDefault="00FD5143" w:rsidP="00FD5143">
      <w:pPr>
        <w:rPr>
          <w:i/>
          <w:lang w:eastAsia="zh-CN"/>
        </w:rPr>
      </w:pPr>
      <w:r w:rsidRPr="00FD5143">
        <w:rPr>
          <w:rFonts w:hint="eastAsia"/>
          <w:b/>
          <w:i/>
          <w:lang w:eastAsia="zh-CN"/>
        </w:rPr>
        <w:t>P</w:t>
      </w:r>
      <w:r w:rsidRPr="00FD5143">
        <w:rPr>
          <w:b/>
          <w:i/>
          <w:lang w:eastAsia="zh-CN"/>
        </w:rPr>
        <w:t xml:space="preserve">roposal </w:t>
      </w:r>
      <w:r>
        <w:rPr>
          <w:b/>
          <w:i/>
          <w:lang w:eastAsia="zh-CN"/>
        </w:rPr>
        <w:t>2</w:t>
      </w:r>
      <w:r w:rsidRPr="00FD5143">
        <w:rPr>
          <w:b/>
          <w:i/>
          <w:lang w:eastAsia="zh-CN"/>
        </w:rPr>
        <w:t>:</w:t>
      </w:r>
      <w:r w:rsidRPr="00FD5143">
        <w:rPr>
          <w:i/>
          <w:lang w:eastAsia="zh-CN"/>
        </w:rPr>
        <w:t xml:space="preserve"> </w:t>
      </w:r>
      <w:r>
        <w:rPr>
          <w:i/>
          <w:lang w:eastAsia="zh-CN"/>
        </w:rPr>
        <w:t xml:space="preserve">For </w:t>
      </w:r>
      <w:r w:rsidRPr="00FD5143">
        <w:rPr>
          <w:i/>
          <w:lang w:eastAsia="zh-CN"/>
        </w:rPr>
        <w:t>Alt 1-2</w:t>
      </w:r>
      <w:r>
        <w:rPr>
          <w:i/>
          <w:lang w:eastAsia="zh-CN"/>
        </w:rPr>
        <w:t>, the overlap</w:t>
      </w:r>
      <w:r w:rsidR="00F60D11">
        <w:rPr>
          <w:i/>
          <w:lang w:eastAsia="zh-CN"/>
        </w:rPr>
        <w:t>ping determination is based on a per-transmission level</w:t>
      </w:r>
      <w:r w:rsidRPr="00FD5143">
        <w:rPr>
          <w:i/>
          <w:lang w:eastAsia="zh-CN"/>
        </w:rPr>
        <w:t xml:space="preserve">. </w:t>
      </w:r>
    </w:p>
    <w:p w14:paraId="00595198" w14:textId="2702E82D" w:rsidR="00F60D11" w:rsidRDefault="00F60D11" w:rsidP="00F60D11">
      <w:pPr>
        <w:rPr>
          <w:iCs/>
          <w:lang w:eastAsia="zh-CN"/>
        </w:rPr>
      </w:pPr>
      <w:r w:rsidRPr="00FD5143">
        <w:rPr>
          <w:rFonts w:hint="eastAsia"/>
          <w:iCs/>
          <w:lang w:eastAsia="zh-CN"/>
        </w:rPr>
        <w:t>E</w:t>
      </w:r>
      <w:r w:rsidRPr="00FD5143">
        <w:rPr>
          <w:iCs/>
          <w:lang w:eastAsia="zh-CN"/>
        </w:rPr>
        <w:t>ven if we agree that overlapping determination is based on a per uplink transmission level. One thing is still not clear. As shown below</w:t>
      </w:r>
      <w:r w:rsidR="00730BCE">
        <w:rPr>
          <w:iCs/>
          <w:lang w:eastAsia="zh-CN"/>
        </w:rPr>
        <w:t xml:space="preserve"> in Figure 1</w:t>
      </w:r>
      <w:r w:rsidRPr="00FD5143">
        <w:rPr>
          <w:iCs/>
          <w:lang w:eastAsia="zh-CN"/>
        </w:rPr>
        <w:t>, assuming there are two uplink transmissions in MCG, UL transmission 1 is overlapping with D and X symbol, UL transmission 2 is overlapping with D symbol only, then the maximum transmission power limits for transmission 1 and transmission 2 are different. The maximum transmission power for transmission 1 is P</w:t>
      </w:r>
      <w:r w:rsidRPr="00FD5143">
        <w:rPr>
          <w:iCs/>
          <w:vertAlign w:val="subscript"/>
          <w:lang w:eastAsia="zh-CN"/>
        </w:rPr>
        <w:t>MCG</w:t>
      </w:r>
      <w:r w:rsidRPr="00FD5143">
        <w:rPr>
          <w:iCs/>
          <w:lang w:eastAsia="zh-CN"/>
        </w:rPr>
        <w:t xml:space="preserve"> since it overlaps with X symbol while the maximum transmission power for transmission 2 is </w:t>
      </w:r>
      <w:proofErr w:type="spellStart"/>
      <w:r w:rsidRPr="00FD5143">
        <w:rPr>
          <w:iCs/>
          <w:lang w:eastAsia="zh-CN"/>
        </w:rPr>
        <w:t>P</w:t>
      </w:r>
      <w:r w:rsidRPr="00FD5143">
        <w:rPr>
          <w:iCs/>
          <w:vertAlign w:val="subscript"/>
          <w:lang w:eastAsia="zh-CN"/>
        </w:rPr>
        <w:t>Total</w:t>
      </w:r>
      <w:proofErr w:type="spellEnd"/>
      <w:r w:rsidRPr="00FD5143">
        <w:rPr>
          <w:iCs/>
          <w:lang w:eastAsia="zh-CN"/>
        </w:rPr>
        <w:t xml:space="preserve"> since it only overlaps with D symbol.</w:t>
      </w:r>
    </w:p>
    <w:p w14:paraId="7D9BF51A" w14:textId="77777777" w:rsidR="00F60D11" w:rsidRDefault="00F60D11" w:rsidP="00F60D11">
      <w:pPr>
        <w:jc w:val="center"/>
        <w:rPr>
          <w:iCs/>
          <w:lang w:eastAsia="zh-CN"/>
        </w:rPr>
      </w:pPr>
      <w:r w:rsidRPr="00FD5143">
        <w:rPr>
          <w:iCs/>
          <w:noProof/>
          <w:lang w:eastAsia="zh-CN"/>
        </w:rPr>
        <w:drawing>
          <wp:inline distT="0" distB="0" distL="0" distR="0" wp14:anchorId="0255FA87" wp14:editId="3778AD6A">
            <wp:extent cx="2880000" cy="148086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480862"/>
                    </a:xfrm>
                    <a:prstGeom prst="rect">
                      <a:avLst/>
                    </a:prstGeom>
                    <a:noFill/>
                  </pic:spPr>
                </pic:pic>
              </a:graphicData>
            </a:graphic>
          </wp:inline>
        </w:drawing>
      </w:r>
    </w:p>
    <w:p w14:paraId="3591C31E" w14:textId="49FB9EEB" w:rsidR="00730BCE" w:rsidRPr="00FD5143" w:rsidRDefault="00730BCE" w:rsidP="00F60D11">
      <w:pPr>
        <w:jc w:val="center"/>
        <w:rPr>
          <w:iCs/>
          <w:lang w:eastAsia="zh-CN"/>
        </w:rPr>
      </w:pPr>
      <w:r>
        <w:rPr>
          <w:rFonts w:hint="eastAsia"/>
          <w:iCs/>
          <w:lang w:eastAsia="zh-CN"/>
        </w:rPr>
        <w:t>F</w:t>
      </w:r>
      <w:r>
        <w:rPr>
          <w:iCs/>
          <w:lang w:eastAsia="zh-CN"/>
        </w:rPr>
        <w:t>igure1. Overlapping determination for NR-DC.</w:t>
      </w:r>
    </w:p>
    <w:p w14:paraId="3F18B1BC" w14:textId="6F21748E" w:rsidR="00C03C51" w:rsidRPr="00E149D2" w:rsidRDefault="008B357E" w:rsidP="00E85155">
      <w:pPr>
        <w:rPr>
          <w:i/>
          <w:lang w:eastAsia="zh-CN"/>
        </w:rPr>
      </w:pPr>
      <w:r w:rsidRPr="00E149D2">
        <w:rPr>
          <w:b/>
          <w:i/>
          <w:lang w:eastAsia="zh-CN"/>
        </w:rPr>
        <w:t>Observation 2:</w:t>
      </w:r>
      <w:r w:rsidRPr="00E149D2">
        <w:rPr>
          <w:i/>
          <w:lang w:eastAsia="zh-CN"/>
        </w:rPr>
        <w:t xml:space="preserve"> If the determination is based on a per-transmission level, two </w:t>
      </w:r>
      <w:r>
        <w:rPr>
          <w:i/>
          <w:lang w:eastAsia="zh-CN"/>
        </w:rPr>
        <w:t xml:space="preserve">overlapping </w:t>
      </w:r>
      <w:r w:rsidRPr="00E149D2">
        <w:rPr>
          <w:i/>
          <w:lang w:eastAsia="zh-CN"/>
        </w:rPr>
        <w:t>uplink transmissions may be associated with different maximum transmission power even in the same symbol.</w:t>
      </w:r>
    </w:p>
    <w:p w14:paraId="0C2160F5" w14:textId="57D00B08" w:rsidR="00E85155" w:rsidRPr="00E85155" w:rsidRDefault="00E85155" w:rsidP="00E85155">
      <w:pPr>
        <w:pStyle w:val="Heading1"/>
        <w:rPr>
          <w:lang w:val="en-US" w:eastAsia="zh-CN"/>
        </w:rPr>
      </w:pPr>
      <w:r w:rsidRPr="00E85155">
        <w:rPr>
          <w:rFonts w:hint="eastAsia"/>
          <w:lang w:val="en-US" w:eastAsia="zh-CN"/>
        </w:rPr>
        <w:t>D</w:t>
      </w:r>
      <w:r w:rsidRPr="00E85155">
        <w:rPr>
          <w:lang w:val="en-US" w:eastAsia="zh-CN"/>
        </w:rPr>
        <w:t>ynamic power sharing</w:t>
      </w:r>
    </w:p>
    <w:p w14:paraId="63440826" w14:textId="2E43DA37" w:rsidR="00E85155" w:rsidRDefault="00F60D11" w:rsidP="00E85155">
      <w:pPr>
        <w:rPr>
          <w:lang w:eastAsia="zh-CN"/>
        </w:rPr>
      </w:pPr>
      <w:r>
        <w:rPr>
          <w:rFonts w:hint="eastAsia"/>
          <w:lang w:eastAsia="zh-CN"/>
        </w:rPr>
        <w:t>F</w:t>
      </w:r>
      <w:r>
        <w:rPr>
          <w:lang w:eastAsia="zh-CN"/>
        </w:rPr>
        <w:t>or dynamic power sharing, the following agreements have been made. The detailed operation of look-ahead has not been finalized.</w:t>
      </w:r>
    </w:p>
    <w:tbl>
      <w:tblPr>
        <w:tblStyle w:val="TableGrid"/>
        <w:tblW w:w="0" w:type="auto"/>
        <w:tblLook w:val="04A0" w:firstRow="1" w:lastRow="0" w:firstColumn="1" w:lastColumn="0" w:noHBand="0" w:noVBand="1"/>
      </w:tblPr>
      <w:tblGrid>
        <w:gridCol w:w="9628"/>
      </w:tblGrid>
      <w:tr w:rsidR="00F60D11" w14:paraId="73B1A085" w14:textId="77777777" w:rsidTr="00F60D11">
        <w:tc>
          <w:tcPr>
            <w:tcW w:w="9628" w:type="dxa"/>
          </w:tcPr>
          <w:p w14:paraId="2DADFA62" w14:textId="77777777" w:rsidR="00F60D11" w:rsidRDefault="00F60D11" w:rsidP="00F60D11">
            <w:pPr>
              <w:spacing w:before="0" w:after="0" w:line="240" w:lineRule="auto"/>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48671C9A" w14:textId="77777777" w:rsidR="00F60D11" w:rsidRPr="00463E51" w:rsidRDefault="00F60D11" w:rsidP="00F60D11">
            <w:pPr>
              <w:spacing w:before="0" w:after="0" w:line="240" w:lineRule="auto"/>
              <w:rPr>
                <w:rFonts w:ascii="Arial" w:hAnsi="Arial" w:cs="Arial"/>
              </w:rPr>
            </w:pPr>
            <w:r w:rsidRPr="00463E51">
              <w:rPr>
                <w:rFonts w:ascii="Arial" w:hAnsi="Arial" w:cs="Arial"/>
                <w:highlight w:val="green"/>
              </w:rPr>
              <w:t>Agreements</w:t>
            </w:r>
            <w:r w:rsidRPr="00463E51">
              <w:rPr>
                <w:rFonts w:ascii="Arial" w:hAnsi="Arial" w:cs="Arial"/>
              </w:rPr>
              <w:t>:</w:t>
            </w:r>
          </w:p>
          <w:p w14:paraId="36C12001" w14:textId="77777777" w:rsidR="00F60D11" w:rsidRPr="001B6AD1" w:rsidRDefault="00F60D11" w:rsidP="00F60D11">
            <w:pPr>
              <w:spacing w:before="0" w:after="0" w:line="240" w:lineRule="auto"/>
              <w:rPr>
                <w:rFonts w:ascii="Arial" w:hAnsi="Arial" w:cs="Arial"/>
                <w:strike/>
                <w:color w:val="FF0000"/>
                <w:lang w:eastAsia="x-none"/>
              </w:rPr>
            </w:pPr>
            <w:r w:rsidRPr="001B6AD1">
              <w:rPr>
                <w:rFonts w:ascii="Arial" w:hAnsi="Arial" w:cs="Arial"/>
              </w:rPr>
              <w:t xml:space="preserve">For dynamic power sharing for NR-NR DC (if supported), </w:t>
            </w:r>
            <w:r w:rsidRPr="001B6AD1">
              <w:rPr>
                <w:rFonts w:ascii="Arial" w:hAnsi="Arial" w:cs="Arial"/>
                <w:strike/>
                <w:color w:val="FF0000"/>
              </w:rPr>
              <w:t>to down-select during this week:</w:t>
            </w:r>
          </w:p>
          <w:p w14:paraId="29F59AF6" w14:textId="77777777" w:rsidR="00F60D11" w:rsidRPr="001B6AD1" w:rsidRDefault="00F60D11" w:rsidP="00F60D11">
            <w:pPr>
              <w:pStyle w:val="ListParagraph"/>
              <w:numPr>
                <w:ilvl w:val="0"/>
                <w:numId w:val="24"/>
              </w:numPr>
              <w:overflowPunct w:val="0"/>
              <w:autoSpaceDE w:val="0"/>
              <w:autoSpaceDN w:val="0"/>
              <w:adjustRightInd w:val="0"/>
              <w:spacing w:before="0" w:after="0" w:line="240" w:lineRule="auto"/>
              <w:contextualSpacing/>
              <w:jc w:val="left"/>
              <w:rPr>
                <w:rFonts w:ascii="Arial" w:hAnsi="Arial" w:cs="Arial"/>
                <w:strike/>
                <w:color w:val="FF0000"/>
              </w:rPr>
            </w:pPr>
            <w:r w:rsidRPr="001B6AD1">
              <w:rPr>
                <w:rFonts w:ascii="Arial" w:hAnsi="Arial" w:cs="Arial"/>
                <w:strike/>
                <w:color w:val="FF0000"/>
              </w:rPr>
              <w:t>Alt 1: When PHR for a CG is reported in another CG, reusing Rel-15 EN-DC framework to determine the PHR (actual/virtual) for active CCs of in the CG</w:t>
            </w:r>
          </w:p>
          <w:p w14:paraId="4E46859D" w14:textId="77777777" w:rsidR="00F60D11" w:rsidRPr="001B6AD1" w:rsidRDefault="00F60D11" w:rsidP="00F60D11">
            <w:pPr>
              <w:pStyle w:val="ListParagraph"/>
              <w:numPr>
                <w:ilvl w:val="0"/>
                <w:numId w:val="24"/>
              </w:numPr>
              <w:overflowPunct w:val="0"/>
              <w:autoSpaceDE w:val="0"/>
              <w:autoSpaceDN w:val="0"/>
              <w:adjustRightInd w:val="0"/>
              <w:spacing w:before="0" w:after="0" w:line="240" w:lineRule="auto"/>
              <w:contextualSpacing/>
              <w:jc w:val="left"/>
              <w:rPr>
                <w:rFonts w:ascii="Arial" w:hAnsi="Arial" w:cs="Arial"/>
              </w:rPr>
            </w:pPr>
            <w:r w:rsidRPr="001B6AD1">
              <w:rPr>
                <w:rFonts w:ascii="Arial" w:hAnsi="Arial" w:cs="Arial"/>
                <w:strike/>
                <w:color w:val="FF0000"/>
              </w:rPr>
              <w:t>Alt 2:</w:t>
            </w:r>
            <w:r w:rsidRPr="001B6AD1">
              <w:rPr>
                <w:rFonts w:ascii="Arial" w:hAnsi="Arial" w:cs="Arial"/>
              </w:rPr>
              <w:t xml:space="preserve"> Virtual PHR for active CCs of another CG</w:t>
            </w:r>
          </w:p>
          <w:p w14:paraId="0280C55C" w14:textId="77777777" w:rsidR="00F60D11" w:rsidRPr="001B6AD1" w:rsidRDefault="00F60D11" w:rsidP="00F60D11">
            <w:pPr>
              <w:numPr>
                <w:ilvl w:val="0"/>
                <w:numId w:val="24"/>
              </w:numPr>
              <w:overflowPunct/>
              <w:autoSpaceDE/>
              <w:autoSpaceDN/>
              <w:adjustRightInd/>
              <w:spacing w:before="0" w:after="0" w:line="240" w:lineRule="auto"/>
              <w:jc w:val="left"/>
              <w:textAlignment w:val="auto"/>
              <w:rPr>
                <w:rFonts w:ascii="Arial" w:hAnsi="Arial" w:cs="Arial"/>
                <w:strike/>
                <w:color w:val="FF0000"/>
              </w:rPr>
            </w:pPr>
            <w:r w:rsidRPr="001B6AD1">
              <w:rPr>
                <w:rFonts w:ascii="Arial" w:hAnsi="Arial" w:cs="Arial"/>
                <w:strike/>
                <w:color w:val="FF0000"/>
              </w:rPr>
              <w:t>Alt 3: no PHR is reported in a CG for the other CG</w:t>
            </w:r>
          </w:p>
          <w:p w14:paraId="21200E6D" w14:textId="77777777" w:rsidR="00F60D11" w:rsidRPr="001B6AD1" w:rsidRDefault="00F60D11" w:rsidP="00F60D11">
            <w:pPr>
              <w:numPr>
                <w:ilvl w:val="0"/>
                <w:numId w:val="24"/>
              </w:numPr>
              <w:overflowPunct/>
              <w:autoSpaceDE/>
              <w:autoSpaceDN/>
              <w:adjustRightInd/>
              <w:spacing w:before="0" w:after="0" w:line="240" w:lineRule="auto"/>
              <w:jc w:val="left"/>
              <w:textAlignment w:val="auto"/>
              <w:rPr>
                <w:rFonts w:ascii="Arial" w:hAnsi="Arial" w:cs="Arial"/>
              </w:rPr>
            </w:pPr>
            <w:r w:rsidRPr="001B6AD1">
              <w:rPr>
                <w:rFonts w:ascii="Arial" w:hAnsi="Arial" w:cs="Arial"/>
              </w:rPr>
              <w:t>(The above change is the update on Wed.)</w:t>
            </w:r>
          </w:p>
          <w:p w14:paraId="18DBEEDC" w14:textId="77777777" w:rsidR="00F60D11" w:rsidRPr="00F60D11" w:rsidRDefault="00F60D11" w:rsidP="00F60D11">
            <w:pPr>
              <w:spacing w:before="0" w:after="0" w:line="240" w:lineRule="auto"/>
              <w:rPr>
                <w:highlight w:val="green"/>
                <w:lang w:eastAsia="x-none"/>
              </w:rPr>
            </w:pPr>
          </w:p>
          <w:p w14:paraId="7060A7A0" w14:textId="77777777" w:rsidR="00F60D11" w:rsidRPr="00C74654" w:rsidRDefault="00F60D11" w:rsidP="00F60D11">
            <w:pPr>
              <w:spacing w:before="0" w:after="0" w:line="240" w:lineRule="auto"/>
              <w:rPr>
                <w:b/>
                <w:bCs/>
                <w:lang w:eastAsia="x-none"/>
              </w:rPr>
            </w:pPr>
            <w:r w:rsidRPr="00C74654">
              <w:rPr>
                <w:highlight w:val="green"/>
                <w:lang w:eastAsia="x-none"/>
              </w:rPr>
              <w:t>Agreements</w:t>
            </w:r>
            <w:r w:rsidRPr="00C74654">
              <w:rPr>
                <w:b/>
                <w:bCs/>
                <w:lang w:eastAsia="x-none"/>
              </w:rPr>
              <w:t>:</w:t>
            </w:r>
          </w:p>
          <w:p w14:paraId="470B9B36" w14:textId="77777777" w:rsidR="00F60D11" w:rsidRPr="00C74654" w:rsidRDefault="00F60D11" w:rsidP="00F60D11">
            <w:pPr>
              <w:pStyle w:val="ListParagraph"/>
              <w:numPr>
                <w:ilvl w:val="0"/>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b/>
                <w:bCs/>
              </w:rPr>
              <w:br w:type="page"/>
            </w:r>
            <w:r w:rsidRPr="00C74654">
              <w:rPr>
                <w:rFonts w:ascii="Arial" w:hAnsi="Arial" w:cs="Arial"/>
              </w:rPr>
              <w:t xml:space="preserve">Support dynamic power sharing </w:t>
            </w:r>
          </w:p>
          <w:p w14:paraId="234E4AA6" w14:textId="77777777" w:rsidR="00F60D11" w:rsidRPr="00C74654" w:rsidRDefault="00F60D11" w:rsidP="00F60D11">
            <w:pPr>
              <w:pStyle w:val="ListParagraph"/>
              <w:numPr>
                <w:ilvl w:val="1"/>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rFonts w:ascii="Arial" w:hAnsi="Arial" w:cs="Arial"/>
              </w:rPr>
              <w:lastRenderedPageBreak/>
              <w:t xml:space="preserve">If there is no overlapping transmission, maximum power on CG </w:t>
            </w:r>
            <w:proofErr w:type="spellStart"/>
            <w:r w:rsidRPr="00C74654">
              <w:rPr>
                <w:rFonts w:ascii="Arial" w:hAnsi="Arial" w:cs="Arial"/>
              </w:rPr>
              <w:t>i</w:t>
            </w:r>
            <w:proofErr w:type="spellEnd"/>
            <w:r w:rsidRPr="00C74654">
              <w:rPr>
                <w:rFonts w:ascii="Arial" w:hAnsi="Arial" w:cs="Arial"/>
              </w:rPr>
              <w:t xml:space="preserve"> is determined by RAN4 spec without considering </w:t>
            </w:r>
            <w:proofErr w:type="spellStart"/>
            <w:r w:rsidRPr="00C74654">
              <w:rPr>
                <w:rFonts w:ascii="Arial" w:hAnsi="Arial" w:cs="Arial"/>
              </w:rPr>
              <w:t>P_CG_i</w:t>
            </w:r>
            <w:proofErr w:type="spellEnd"/>
            <w:r w:rsidRPr="00C74654">
              <w:rPr>
                <w:rFonts w:ascii="Arial" w:hAnsi="Arial" w:cs="Arial"/>
              </w:rPr>
              <w:t>.</w:t>
            </w:r>
          </w:p>
          <w:p w14:paraId="0D928897" w14:textId="77777777" w:rsidR="00F60D11" w:rsidRPr="00C74654" w:rsidRDefault="00F60D11" w:rsidP="00F60D11">
            <w:pPr>
              <w:pStyle w:val="ListParagraph"/>
              <w:numPr>
                <w:ilvl w:val="1"/>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rFonts w:ascii="Arial" w:hAnsi="Arial" w:cs="Arial"/>
              </w:rPr>
              <w:t xml:space="preserve">If there is overlapping transmission, maximum power on CG </w:t>
            </w:r>
            <w:proofErr w:type="spellStart"/>
            <w:r w:rsidRPr="00C74654">
              <w:rPr>
                <w:rFonts w:ascii="Arial" w:hAnsi="Arial" w:cs="Arial"/>
              </w:rPr>
              <w:t>i</w:t>
            </w:r>
            <w:proofErr w:type="spellEnd"/>
            <w:r w:rsidRPr="00C74654">
              <w:rPr>
                <w:rFonts w:ascii="Arial" w:hAnsi="Arial" w:cs="Arial"/>
              </w:rPr>
              <w:t xml:space="preserve"> is limited to </w:t>
            </w:r>
            <w:proofErr w:type="spellStart"/>
            <w:r w:rsidRPr="00C74654">
              <w:rPr>
                <w:rFonts w:ascii="Arial" w:hAnsi="Arial" w:cs="Arial"/>
              </w:rPr>
              <w:t>P_CG_i</w:t>
            </w:r>
            <w:proofErr w:type="spellEnd"/>
            <w:r w:rsidRPr="00C74654">
              <w:rPr>
                <w:rFonts w:ascii="Arial" w:hAnsi="Arial" w:cs="Arial"/>
              </w:rPr>
              <w:t>.</w:t>
            </w:r>
          </w:p>
          <w:p w14:paraId="498ECADE" w14:textId="77777777" w:rsidR="00F60D11" w:rsidRPr="00C74654" w:rsidRDefault="00F60D11" w:rsidP="00F60D11">
            <w:pPr>
              <w:pStyle w:val="ListParagraph"/>
              <w:numPr>
                <w:ilvl w:val="1"/>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rFonts w:ascii="Arial" w:hAnsi="Arial" w:cs="Arial"/>
              </w:rPr>
              <w:t>Note: “look-ahead” operation is included as a UE capability below</w:t>
            </w:r>
          </w:p>
          <w:p w14:paraId="06098177" w14:textId="77777777" w:rsidR="00F60D11" w:rsidRPr="00C74654" w:rsidRDefault="00F60D11" w:rsidP="00F60D11">
            <w:pPr>
              <w:pStyle w:val="ListParagraph"/>
              <w:numPr>
                <w:ilvl w:val="0"/>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rFonts w:ascii="Arial" w:hAnsi="Arial" w:cs="Arial"/>
                <w:bCs/>
              </w:rPr>
              <w:t xml:space="preserve">In case of power limitation, MCG is prioritized over SCG and reuse CA rule within each CG </w:t>
            </w:r>
          </w:p>
          <w:p w14:paraId="35B86B67" w14:textId="77777777" w:rsidR="00F60D11" w:rsidRPr="00C74654" w:rsidRDefault="00F60D11" w:rsidP="00F60D11">
            <w:pPr>
              <w:pStyle w:val="ListParagraph"/>
              <w:numPr>
                <w:ilvl w:val="0"/>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rFonts w:ascii="Arial" w:hAnsi="Arial" w:cs="Arial"/>
              </w:rPr>
              <w:t xml:space="preserve">Optional UE capability to indicate the support of dynamic power sharing operation </w:t>
            </w:r>
          </w:p>
          <w:p w14:paraId="41083A4E" w14:textId="2295EA78" w:rsidR="00F60D11" w:rsidRPr="00F60D11" w:rsidRDefault="00F60D11" w:rsidP="00F60D11">
            <w:pPr>
              <w:pStyle w:val="ListParagraph"/>
              <w:numPr>
                <w:ilvl w:val="0"/>
                <w:numId w:val="23"/>
              </w:numPr>
              <w:overflowPunct w:val="0"/>
              <w:autoSpaceDE w:val="0"/>
              <w:autoSpaceDN w:val="0"/>
              <w:adjustRightInd w:val="0"/>
              <w:spacing w:before="0" w:after="0" w:line="240" w:lineRule="auto"/>
              <w:contextualSpacing/>
              <w:jc w:val="left"/>
              <w:textAlignment w:val="baseline"/>
              <w:rPr>
                <w:rFonts w:ascii="Arial" w:hAnsi="Arial" w:cs="Arial"/>
              </w:rPr>
            </w:pPr>
            <w:r w:rsidRPr="00C74654">
              <w:rPr>
                <w:rFonts w:ascii="Arial" w:hAnsi="Arial" w:cs="Arial"/>
              </w:rPr>
              <w:t xml:space="preserve">Separate optional UE capability to indicate the support of ’look-ahead’ operation on condition that UE indicates support of dynamic power sharing operation. </w:t>
            </w:r>
          </w:p>
        </w:tc>
      </w:tr>
    </w:tbl>
    <w:p w14:paraId="258A0DB8" w14:textId="77777777" w:rsidR="00F60D11" w:rsidRDefault="00F60D11" w:rsidP="00E85155">
      <w:pPr>
        <w:rPr>
          <w:lang w:eastAsia="zh-CN"/>
        </w:rPr>
      </w:pPr>
    </w:p>
    <w:p w14:paraId="43F97644" w14:textId="5950A3AF" w:rsidR="00E85155" w:rsidRDefault="00F60D11" w:rsidP="00E85155">
      <w:pPr>
        <w:rPr>
          <w:lang w:eastAsia="zh-CN"/>
        </w:rPr>
      </w:pPr>
      <w:r>
        <w:rPr>
          <w:lang w:eastAsia="zh-CN"/>
        </w:rPr>
        <w:t xml:space="preserve">Basically, there are two ways to define the look-ahead window for uplink transmission. One is to define an offset before the first symbol of the uplink transmission and the other way is to define the offset from the last symbol of the </w:t>
      </w:r>
      <w:r w:rsidR="008F618C">
        <w:rPr>
          <w:lang w:eastAsia="zh-CN"/>
        </w:rPr>
        <w:t>scheduling/triggering command of the uplink transmission. The main constraint of the size of look-ahead window is the uplink processing time. In other words, sufficient time shall be guaranteed for UE to prepare the uplink transmission. From this perspective, defining an offset before the first symbol of the uplink transmission is a desirable solution, which is compatible with the Rel-15 processing time definition.</w:t>
      </w:r>
    </w:p>
    <w:p w14:paraId="1D2399FC" w14:textId="16AC5740" w:rsidR="008F618C" w:rsidRDefault="008F618C" w:rsidP="00E85155">
      <w:pPr>
        <w:rPr>
          <w:lang w:eastAsia="zh-CN"/>
        </w:rPr>
      </w:pPr>
      <w:r>
        <w:rPr>
          <w:lang w:eastAsia="zh-CN"/>
        </w:rPr>
        <w:t>For dynamic scheduled PUSCH, T</w:t>
      </w:r>
      <w:r w:rsidRPr="008F618C">
        <w:rPr>
          <w:vertAlign w:val="subscript"/>
          <w:lang w:eastAsia="zh-CN"/>
        </w:rPr>
        <w:t>pro</w:t>
      </w:r>
      <w:proofErr w:type="gramStart"/>
      <w:r w:rsidRPr="008F618C">
        <w:rPr>
          <w:vertAlign w:val="subscript"/>
          <w:lang w:eastAsia="zh-CN"/>
        </w:rPr>
        <w:t>,2</w:t>
      </w:r>
      <w:proofErr w:type="gramEnd"/>
      <w:r>
        <w:rPr>
          <w:lang w:eastAsia="zh-CN"/>
        </w:rPr>
        <w:t xml:space="preserve"> can be used as the look-ahead offset. For configured grant PUSCH, since there is no scheduling PDCCH in this case, T</w:t>
      </w:r>
      <w:r w:rsidRPr="008F618C">
        <w:rPr>
          <w:vertAlign w:val="subscript"/>
          <w:lang w:eastAsia="zh-CN"/>
        </w:rPr>
        <w:t>pro</w:t>
      </w:r>
      <w:proofErr w:type="gramStart"/>
      <w:r w:rsidRPr="008F618C">
        <w:rPr>
          <w:vertAlign w:val="subscript"/>
          <w:lang w:eastAsia="zh-CN"/>
        </w:rPr>
        <w:t>,2</w:t>
      </w:r>
      <w:proofErr w:type="gramEnd"/>
      <w:r>
        <w:rPr>
          <w:lang w:eastAsia="zh-CN"/>
        </w:rPr>
        <w:t xml:space="preserve"> can be used as the look-ahead offset without factoring in the numerology of PDCCH </w:t>
      </w:r>
      <w:proofErr w:type="spellStart"/>
      <w:r>
        <w:rPr>
          <w:lang w:eastAsia="zh-CN"/>
        </w:rPr>
        <w:t>u</w:t>
      </w:r>
      <w:r w:rsidRPr="008F618C">
        <w:rPr>
          <w:vertAlign w:val="subscript"/>
          <w:lang w:eastAsia="zh-CN"/>
        </w:rPr>
        <w:t>DL</w:t>
      </w:r>
      <w:proofErr w:type="spellEnd"/>
      <w:r>
        <w:rPr>
          <w:lang w:eastAsia="zh-CN"/>
        </w:rPr>
        <w:t xml:space="preserve">. </w:t>
      </w:r>
      <w:r w:rsidR="00E21F7D">
        <w:rPr>
          <w:lang w:eastAsia="zh-CN"/>
        </w:rPr>
        <w:t>While for the other uplink transmissions, e.g., PUCCH, PRACH and SRS, how to determine the look-ahead offset for these uplink transmissions is still not clear. Further discussion is needed.</w:t>
      </w:r>
    </w:p>
    <w:p w14:paraId="2B1F7182" w14:textId="7E76AFBB" w:rsidR="00F60D11" w:rsidRDefault="00F60D11" w:rsidP="00F60D11">
      <w:pPr>
        <w:snapToGrid w:val="0"/>
        <w:spacing w:beforeLines="30" w:before="72"/>
        <w:rPr>
          <w:i/>
          <w:iCs/>
        </w:rPr>
      </w:pPr>
      <w:r>
        <w:rPr>
          <w:rFonts w:hint="eastAsia"/>
          <w:b/>
          <w:i/>
        </w:rPr>
        <w:t>Proposal</w:t>
      </w:r>
      <w:r>
        <w:rPr>
          <w:b/>
          <w:i/>
        </w:rPr>
        <w:t xml:space="preserve"> </w:t>
      </w:r>
      <w:r w:rsidR="00B91ED5">
        <w:rPr>
          <w:b/>
          <w:i/>
          <w:lang w:eastAsia="zh-CN"/>
        </w:rPr>
        <w:t>3</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p>
    <w:p w14:paraId="3241AFBE" w14:textId="420629EA" w:rsidR="00E21F7D" w:rsidRPr="0090281B" w:rsidRDefault="00E21F7D" w:rsidP="0090281B">
      <w:pPr>
        <w:pStyle w:val="ListParagraph"/>
        <w:numPr>
          <w:ilvl w:val="0"/>
          <w:numId w:val="25"/>
        </w:numPr>
        <w:snapToGrid w:val="0"/>
        <w:spacing w:beforeLines="30" w:before="72"/>
        <w:rPr>
          <w:i/>
          <w:lang w:eastAsia="zh-CN"/>
        </w:rPr>
      </w:pPr>
      <w:r w:rsidRPr="0090281B">
        <w:rPr>
          <w:i/>
          <w:iCs/>
        </w:rPr>
        <w:t xml:space="preserve">For dynamic scheduled PUSCH, </w:t>
      </w:r>
      <w:r w:rsidRPr="0090281B">
        <w:rPr>
          <w:i/>
          <w:lang w:eastAsia="zh-CN"/>
        </w:rPr>
        <w:t>T</w:t>
      </w:r>
      <w:r w:rsidRPr="0090281B">
        <w:rPr>
          <w:i/>
          <w:vertAlign w:val="subscript"/>
          <w:lang w:eastAsia="zh-CN"/>
        </w:rPr>
        <w:t xml:space="preserve">pro,2 </w:t>
      </w:r>
      <w:r w:rsidRPr="0090281B">
        <w:rPr>
          <w:i/>
          <w:lang w:eastAsia="zh-CN"/>
        </w:rPr>
        <w:t>is defined as the look-ahead offset;</w:t>
      </w:r>
    </w:p>
    <w:p w14:paraId="725D25E4" w14:textId="35E9C756" w:rsidR="00E21F7D" w:rsidRPr="0090281B" w:rsidRDefault="00E21F7D" w:rsidP="0090281B">
      <w:pPr>
        <w:pStyle w:val="ListParagraph"/>
        <w:numPr>
          <w:ilvl w:val="0"/>
          <w:numId w:val="25"/>
        </w:numPr>
        <w:snapToGrid w:val="0"/>
        <w:spacing w:beforeLines="30" w:before="72"/>
        <w:rPr>
          <w:i/>
          <w:lang w:eastAsia="zh-CN"/>
        </w:rPr>
      </w:pPr>
      <w:r w:rsidRPr="0090281B">
        <w:rPr>
          <w:i/>
          <w:lang w:eastAsia="zh-CN"/>
        </w:rPr>
        <w:t>For configured grant PUSCH, T</w:t>
      </w:r>
      <w:r w:rsidRPr="0090281B">
        <w:rPr>
          <w:i/>
          <w:vertAlign w:val="subscript"/>
          <w:lang w:eastAsia="zh-CN"/>
        </w:rPr>
        <w:t xml:space="preserve">pro,2 </w:t>
      </w:r>
      <w:r w:rsidRPr="0090281B">
        <w:rPr>
          <w:i/>
          <w:lang w:eastAsia="zh-CN"/>
        </w:rPr>
        <w:t xml:space="preserve">without factoring in the numerology of PDCCH </w:t>
      </w:r>
      <w:proofErr w:type="spellStart"/>
      <w:r w:rsidRPr="0090281B">
        <w:rPr>
          <w:i/>
          <w:lang w:eastAsia="zh-CN"/>
        </w:rPr>
        <w:t>u</w:t>
      </w:r>
      <w:r w:rsidRPr="0090281B">
        <w:rPr>
          <w:i/>
          <w:vertAlign w:val="subscript"/>
          <w:lang w:eastAsia="zh-CN"/>
        </w:rPr>
        <w:t>DL</w:t>
      </w:r>
      <w:proofErr w:type="spellEnd"/>
      <w:r w:rsidRPr="0090281B">
        <w:rPr>
          <w:i/>
          <w:lang w:eastAsia="zh-CN"/>
        </w:rPr>
        <w:t xml:space="preserve"> is defined as the look-ahead offset;</w:t>
      </w:r>
    </w:p>
    <w:p w14:paraId="1C0F50B3" w14:textId="6D53762E" w:rsidR="00E21F7D" w:rsidRPr="0090281B" w:rsidRDefault="00E21F7D" w:rsidP="0090281B">
      <w:pPr>
        <w:pStyle w:val="ListParagraph"/>
        <w:numPr>
          <w:ilvl w:val="0"/>
          <w:numId w:val="25"/>
        </w:numPr>
        <w:snapToGrid w:val="0"/>
        <w:spacing w:beforeLines="30" w:before="72"/>
        <w:rPr>
          <w:i/>
          <w:lang w:eastAsia="zh-CN"/>
        </w:rPr>
      </w:pPr>
      <w:r w:rsidRPr="0090281B">
        <w:rPr>
          <w:i/>
          <w:lang w:eastAsia="zh-CN"/>
        </w:rPr>
        <w:t>For PUCCH, PRACH and SRS, further discuss how to determine the look-ahead offset.</w:t>
      </w:r>
    </w:p>
    <w:p w14:paraId="40E84EAF" w14:textId="77777777" w:rsidR="00F60D11" w:rsidRPr="00F60D11" w:rsidRDefault="00F60D11" w:rsidP="00E85155">
      <w:pPr>
        <w:rPr>
          <w:lang w:eastAsia="zh-CN"/>
        </w:rPr>
      </w:pPr>
    </w:p>
    <w:p w14:paraId="6352AF4D" w14:textId="77777777" w:rsidR="004F0C4D" w:rsidRDefault="00FF0C69">
      <w:pPr>
        <w:pStyle w:val="Heading1"/>
        <w:rPr>
          <w:lang w:val="en-US" w:eastAsia="zh-CN"/>
        </w:rPr>
      </w:pPr>
      <w:r>
        <w:rPr>
          <w:rFonts w:hint="eastAsia"/>
          <w:lang w:val="en-US" w:eastAsia="zh-CN"/>
        </w:rPr>
        <w:t>Conclusion</w:t>
      </w:r>
    </w:p>
    <w:p w14:paraId="761BF6BC" w14:textId="337F5FE6" w:rsidR="004F0C4D" w:rsidRDefault="00FF0C69">
      <w:pPr>
        <w:rPr>
          <w:lang w:eastAsia="zh-CN"/>
        </w:rPr>
      </w:pPr>
      <w:r>
        <w:rPr>
          <w:rFonts w:hint="eastAsia"/>
          <w:lang w:eastAsia="zh-CN"/>
        </w:rPr>
        <w:t xml:space="preserve">To sum up, we present the following </w:t>
      </w:r>
      <w:r w:rsidR="00B91ED5">
        <w:rPr>
          <w:lang w:eastAsia="zh-CN"/>
        </w:rPr>
        <w:t xml:space="preserve">observations and </w:t>
      </w:r>
      <w:r>
        <w:rPr>
          <w:rFonts w:hint="eastAsia"/>
          <w:lang w:eastAsia="zh-CN"/>
        </w:rPr>
        <w:t>proposals in this contribution.</w:t>
      </w:r>
    </w:p>
    <w:p w14:paraId="7DB4F7CF" w14:textId="6E94B0D4" w:rsidR="004E4879" w:rsidRDefault="00B91ED5">
      <w:pPr>
        <w:rPr>
          <w:i/>
          <w:lang w:eastAsia="zh-CN"/>
        </w:rPr>
      </w:pPr>
      <w:r w:rsidRPr="00D77618">
        <w:rPr>
          <w:rFonts w:hint="eastAsia"/>
          <w:b/>
          <w:i/>
          <w:lang w:eastAsia="zh-CN"/>
        </w:rPr>
        <w:t>O</w:t>
      </w:r>
      <w:r w:rsidRPr="00D77618">
        <w:rPr>
          <w:b/>
          <w:i/>
          <w:lang w:eastAsia="zh-CN"/>
        </w:rPr>
        <w:t xml:space="preserve">bservation 1: </w:t>
      </w:r>
      <w:r w:rsidRPr="00D77618">
        <w:rPr>
          <w:i/>
          <w:lang w:eastAsia="zh-CN"/>
        </w:rPr>
        <w:t xml:space="preserve">Alt 1-2 </w:t>
      </w:r>
      <w:r>
        <w:rPr>
          <w:i/>
          <w:lang w:eastAsia="zh-CN"/>
        </w:rPr>
        <w:t xml:space="preserve">is applicable to </w:t>
      </w:r>
      <w:r w:rsidRPr="00D77618">
        <w:rPr>
          <w:i/>
          <w:lang w:eastAsia="zh-CN"/>
        </w:rPr>
        <w:t>asynchronous NR-DC</w:t>
      </w:r>
      <w:r>
        <w:rPr>
          <w:i/>
          <w:lang w:eastAsia="zh-CN"/>
        </w:rPr>
        <w:t xml:space="preserve"> network</w:t>
      </w:r>
      <w:r w:rsidRPr="00D77618">
        <w:rPr>
          <w:i/>
          <w:lang w:eastAsia="zh-CN"/>
        </w:rPr>
        <w:t xml:space="preserve"> if </w:t>
      </w:r>
      <w:r>
        <w:rPr>
          <w:i/>
          <w:lang w:eastAsia="zh-CN"/>
        </w:rPr>
        <w:t xml:space="preserve">the </w:t>
      </w:r>
      <w:r w:rsidRPr="00D77618">
        <w:rPr>
          <w:i/>
          <w:lang w:eastAsia="zh-CN"/>
        </w:rPr>
        <w:t xml:space="preserve">UE supports determining the timing offset between MCG and SCG. UE capability </w:t>
      </w:r>
      <w:proofErr w:type="spellStart"/>
      <w:r w:rsidRPr="00D77618">
        <w:rPr>
          <w:i/>
          <w:lang w:eastAsia="zh-CN"/>
        </w:rPr>
        <w:t>sftd-MeasPSCell</w:t>
      </w:r>
      <w:proofErr w:type="spellEnd"/>
      <w:r w:rsidRPr="00D77618">
        <w:rPr>
          <w:i/>
          <w:lang w:eastAsia="zh-CN"/>
        </w:rPr>
        <w:t xml:space="preserve"> can be used as an implicit indication to indicate whether UE supports determining the timing offset between MCG and SCG or not.</w:t>
      </w:r>
    </w:p>
    <w:p w14:paraId="799C3E8C" w14:textId="19ABCE18" w:rsidR="007721AF" w:rsidRPr="007721AF" w:rsidRDefault="007721AF">
      <w:pPr>
        <w:rPr>
          <w:i/>
          <w:lang w:eastAsia="zh-CN"/>
        </w:rPr>
      </w:pPr>
      <w:r w:rsidRPr="003C0F78">
        <w:rPr>
          <w:b/>
          <w:i/>
          <w:lang w:eastAsia="zh-CN"/>
        </w:rPr>
        <w:t>Observation 2:</w:t>
      </w:r>
      <w:r w:rsidRPr="003C0F78">
        <w:rPr>
          <w:i/>
          <w:lang w:eastAsia="zh-CN"/>
        </w:rPr>
        <w:t xml:space="preserve"> If the determination is based on a per-transmission level, two </w:t>
      </w:r>
      <w:r>
        <w:rPr>
          <w:i/>
          <w:lang w:eastAsia="zh-CN"/>
        </w:rPr>
        <w:t xml:space="preserve">overlapping </w:t>
      </w:r>
      <w:r w:rsidRPr="003C0F78">
        <w:rPr>
          <w:i/>
          <w:lang w:eastAsia="zh-CN"/>
        </w:rPr>
        <w:t>uplink transmissions may be associated with different maximum transmission power even in the same symbol.</w:t>
      </w:r>
    </w:p>
    <w:p w14:paraId="15D7BC9D" w14:textId="084ABECF" w:rsidR="00B91ED5" w:rsidRPr="00B91ED5" w:rsidRDefault="00B91ED5">
      <w:pPr>
        <w:rPr>
          <w:i/>
          <w:lang w:eastAsia="zh-CN"/>
        </w:rPr>
      </w:pPr>
      <w:r w:rsidRPr="00FD5143">
        <w:rPr>
          <w:rFonts w:hint="eastAsia"/>
          <w:b/>
          <w:i/>
          <w:lang w:eastAsia="zh-CN"/>
        </w:rPr>
        <w:t>P</w:t>
      </w:r>
      <w:r w:rsidRPr="00FD5143">
        <w:rPr>
          <w:b/>
          <w:i/>
          <w:lang w:eastAsia="zh-CN"/>
        </w:rPr>
        <w:t>roposal 1:</w:t>
      </w:r>
      <w:r w:rsidRPr="00FD5143">
        <w:rPr>
          <w:i/>
          <w:lang w:eastAsia="zh-CN"/>
        </w:rPr>
        <w:t xml:space="preserve"> Introduce a one-bit RRC IE to differentiate configuration of Alt 1-2 and Alt 2. </w:t>
      </w:r>
    </w:p>
    <w:p w14:paraId="460CD1CD" w14:textId="02E2616F" w:rsidR="00B91ED5" w:rsidRPr="00B91ED5" w:rsidRDefault="00B91ED5">
      <w:pPr>
        <w:rPr>
          <w:i/>
          <w:lang w:eastAsia="zh-CN"/>
        </w:rPr>
      </w:pPr>
      <w:r w:rsidRPr="00FD5143">
        <w:rPr>
          <w:rFonts w:hint="eastAsia"/>
          <w:b/>
          <w:i/>
          <w:lang w:eastAsia="zh-CN"/>
        </w:rPr>
        <w:t>P</w:t>
      </w:r>
      <w:r w:rsidRPr="00FD5143">
        <w:rPr>
          <w:b/>
          <w:i/>
          <w:lang w:eastAsia="zh-CN"/>
        </w:rPr>
        <w:t xml:space="preserve">roposal </w:t>
      </w:r>
      <w:r>
        <w:rPr>
          <w:b/>
          <w:i/>
          <w:lang w:eastAsia="zh-CN"/>
        </w:rPr>
        <w:t>2</w:t>
      </w:r>
      <w:r w:rsidRPr="00FD5143">
        <w:rPr>
          <w:b/>
          <w:i/>
          <w:lang w:eastAsia="zh-CN"/>
        </w:rPr>
        <w:t>:</w:t>
      </w:r>
      <w:r w:rsidRPr="00FD5143">
        <w:rPr>
          <w:i/>
          <w:lang w:eastAsia="zh-CN"/>
        </w:rPr>
        <w:t xml:space="preserve"> </w:t>
      </w:r>
      <w:r>
        <w:rPr>
          <w:i/>
          <w:lang w:eastAsia="zh-CN"/>
        </w:rPr>
        <w:t xml:space="preserve">For </w:t>
      </w:r>
      <w:r w:rsidRPr="00FD5143">
        <w:rPr>
          <w:i/>
          <w:lang w:eastAsia="zh-CN"/>
        </w:rPr>
        <w:t>Alt 1-2</w:t>
      </w:r>
      <w:r>
        <w:rPr>
          <w:i/>
          <w:lang w:eastAsia="zh-CN"/>
        </w:rPr>
        <w:t>, the overlapping determination is based on a per-transmission level</w:t>
      </w:r>
      <w:r w:rsidRPr="00FD5143">
        <w:rPr>
          <w:i/>
          <w:lang w:eastAsia="zh-CN"/>
        </w:rPr>
        <w:t xml:space="preserve">. </w:t>
      </w:r>
    </w:p>
    <w:p w14:paraId="577A2BC9" w14:textId="77777777" w:rsidR="00B91ED5" w:rsidRDefault="00B91ED5" w:rsidP="00B91ED5">
      <w:pPr>
        <w:snapToGrid w:val="0"/>
        <w:spacing w:beforeLines="30" w:before="72"/>
        <w:rPr>
          <w:i/>
          <w:iCs/>
        </w:rPr>
      </w:pPr>
      <w:r>
        <w:rPr>
          <w:rFonts w:hint="eastAsia"/>
          <w:b/>
          <w:i/>
        </w:rPr>
        <w:t>Proposal</w:t>
      </w:r>
      <w:r>
        <w:rPr>
          <w:b/>
          <w:i/>
        </w:rPr>
        <w:t xml:space="preserve"> </w:t>
      </w:r>
      <w:r>
        <w:rPr>
          <w:b/>
          <w:i/>
          <w:lang w:eastAsia="zh-CN"/>
        </w:rPr>
        <w:t>3</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p>
    <w:p w14:paraId="04EE99A9" w14:textId="77777777" w:rsidR="00B91ED5" w:rsidRPr="0090281B" w:rsidRDefault="00B91ED5" w:rsidP="00B91ED5">
      <w:pPr>
        <w:pStyle w:val="ListParagraph"/>
        <w:numPr>
          <w:ilvl w:val="0"/>
          <w:numId w:val="25"/>
        </w:numPr>
        <w:snapToGrid w:val="0"/>
        <w:spacing w:beforeLines="30" w:before="72"/>
        <w:rPr>
          <w:i/>
          <w:lang w:eastAsia="zh-CN"/>
        </w:rPr>
      </w:pPr>
      <w:r w:rsidRPr="0090281B">
        <w:rPr>
          <w:i/>
          <w:iCs/>
        </w:rPr>
        <w:t xml:space="preserve">For dynamic scheduled PUSCH, </w:t>
      </w:r>
      <w:r w:rsidRPr="0090281B">
        <w:rPr>
          <w:i/>
          <w:lang w:eastAsia="zh-CN"/>
        </w:rPr>
        <w:t>T</w:t>
      </w:r>
      <w:r w:rsidRPr="0090281B">
        <w:rPr>
          <w:i/>
          <w:vertAlign w:val="subscript"/>
          <w:lang w:eastAsia="zh-CN"/>
        </w:rPr>
        <w:t xml:space="preserve">pro,2 </w:t>
      </w:r>
      <w:r w:rsidRPr="0090281B">
        <w:rPr>
          <w:i/>
          <w:lang w:eastAsia="zh-CN"/>
        </w:rPr>
        <w:t>is defined as the look-ahead offset;</w:t>
      </w:r>
    </w:p>
    <w:p w14:paraId="5089A17D" w14:textId="77777777" w:rsidR="00B91ED5" w:rsidRPr="0090281B" w:rsidRDefault="00B91ED5" w:rsidP="00B91ED5">
      <w:pPr>
        <w:pStyle w:val="ListParagraph"/>
        <w:numPr>
          <w:ilvl w:val="0"/>
          <w:numId w:val="25"/>
        </w:numPr>
        <w:snapToGrid w:val="0"/>
        <w:spacing w:beforeLines="30" w:before="72"/>
        <w:rPr>
          <w:i/>
          <w:lang w:eastAsia="zh-CN"/>
        </w:rPr>
      </w:pPr>
      <w:r w:rsidRPr="0090281B">
        <w:rPr>
          <w:i/>
          <w:lang w:eastAsia="zh-CN"/>
        </w:rPr>
        <w:t>For configured grant PUSCH, T</w:t>
      </w:r>
      <w:r w:rsidRPr="0090281B">
        <w:rPr>
          <w:i/>
          <w:vertAlign w:val="subscript"/>
          <w:lang w:eastAsia="zh-CN"/>
        </w:rPr>
        <w:t xml:space="preserve">pro,2 </w:t>
      </w:r>
      <w:r w:rsidRPr="0090281B">
        <w:rPr>
          <w:i/>
          <w:lang w:eastAsia="zh-CN"/>
        </w:rPr>
        <w:t xml:space="preserve">without factoring in the numerology of PDCCH </w:t>
      </w:r>
      <w:proofErr w:type="spellStart"/>
      <w:r w:rsidRPr="0090281B">
        <w:rPr>
          <w:i/>
          <w:lang w:eastAsia="zh-CN"/>
        </w:rPr>
        <w:t>u</w:t>
      </w:r>
      <w:r w:rsidRPr="0090281B">
        <w:rPr>
          <w:i/>
          <w:vertAlign w:val="subscript"/>
          <w:lang w:eastAsia="zh-CN"/>
        </w:rPr>
        <w:t>DL</w:t>
      </w:r>
      <w:proofErr w:type="spellEnd"/>
      <w:r w:rsidRPr="0090281B">
        <w:rPr>
          <w:i/>
          <w:lang w:eastAsia="zh-CN"/>
        </w:rPr>
        <w:t xml:space="preserve"> is defined as the look-ahead offset;</w:t>
      </w:r>
      <w:bookmarkStart w:id="3" w:name="_GoBack"/>
      <w:bookmarkEnd w:id="3"/>
    </w:p>
    <w:p w14:paraId="4B0521FC" w14:textId="77777777" w:rsidR="00B91ED5" w:rsidRPr="0090281B" w:rsidRDefault="00B91ED5" w:rsidP="00B91ED5">
      <w:pPr>
        <w:pStyle w:val="ListParagraph"/>
        <w:numPr>
          <w:ilvl w:val="0"/>
          <w:numId w:val="25"/>
        </w:numPr>
        <w:snapToGrid w:val="0"/>
        <w:spacing w:beforeLines="30" w:before="72"/>
        <w:rPr>
          <w:i/>
          <w:lang w:eastAsia="zh-CN"/>
        </w:rPr>
      </w:pPr>
      <w:r w:rsidRPr="0090281B">
        <w:rPr>
          <w:i/>
          <w:lang w:eastAsia="zh-CN"/>
        </w:rPr>
        <w:t>For PUCCH, PRACH and SRS, further discuss how to determine the look-ahead offset.</w:t>
      </w:r>
    </w:p>
    <w:p w14:paraId="6FDB0575" w14:textId="77777777" w:rsidR="004F0C4D" w:rsidRDefault="00FF0C69">
      <w:pPr>
        <w:pStyle w:val="Heading1"/>
        <w:rPr>
          <w:lang w:eastAsia="zh-CN"/>
        </w:rPr>
      </w:pPr>
      <w:r>
        <w:rPr>
          <w:rFonts w:hint="eastAsia"/>
          <w:lang w:eastAsia="zh-CN"/>
        </w:rPr>
        <w:t>R</w:t>
      </w:r>
      <w:r>
        <w:rPr>
          <w:lang w:eastAsia="zh-CN"/>
        </w:rPr>
        <w:t>eference</w:t>
      </w:r>
    </w:p>
    <w:p w14:paraId="3CC135D1" w14:textId="0823B3B7" w:rsidR="004F0C4D" w:rsidRDefault="0090281B" w:rsidP="002C0138">
      <w:pPr>
        <w:pStyle w:val="References"/>
        <w:rPr>
          <w:lang w:eastAsia="zh-CN"/>
        </w:rPr>
      </w:pPr>
      <w:bookmarkStart w:id="4" w:name="_Ref7345098"/>
      <w:bookmarkStart w:id="5" w:name="_Ref16691421"/>
      <w:r>
        <w:rPr>
          <w:lang w:eastAsia="zh-CN"/>
        </w:rPr>
        <w:t>Chairman's Notes RAN1#98</w:t>
      </w:r>
      <w:r w:rsidR="00FF0C69">
        <w:rPr>
          <w:lang w:eastAsia="zh-CN"/>
        </w:rPr>
        <w:t>.</w:t>
      </w:r>
      <w:bookmarkEnd w:id="4"/>
      <w:bookmarkEnd w:id="5"/>
    </w:p>
    <w:p w14:paraId="5B3A63FF" w14:textId="25BEEB49" w:rsidR="004F0C4D" w:rsidRDefault="0090281B" w:rsidP="0090281B">
      <w:pPr>
        <w:pStyle w:val="References"/>
        <w:rPr>
          <w:lang w:eastAsia="zh-CN"/>
        </w:rPr>
      </w:pPr>
      <w:r>
        <w:rPr>
          <w:lang w:eastAsia="zh-CN"/>
        </w:rPr>
        <w:t>Chairman's Notes RAN1#98bis.</w:t>
      </w:r>
    </w:p>
    <w:sectPr w:rsidR="004F0C4D">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D33DC" w14:textId="77777777" w:rsidR="00600578" w:rsidRDefault="00600578">
      <w:pPr>
        <w:spacing w:after="0"/>
      </w:pPr>
      <w:r>
        <w:separator/>
      </w:r>
    </w:p>
  </w:endnote>
  <w:endnote w:type="continuationSeparator" w:id="0">
    <w:p w14:paraId="056CE14C" w14:textId="77777777" w:rsidR="00600578" w:rsidRDefault="006005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2E7BA" w14:textId="77777777" w:rsidR="00E21F7D" w:rsidRDefault="00E21F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0A54F" w14:textId="77777777" w:rsidR="00E21F7D" w:rsidRDefault="00E21F7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B1F01" w14:textId="77777777" w:rsidR="00E21F7D" w:rsidRDefault="00E21F7D">
    <w:pPr>
      <w:pStyle w:val="Footer"/>
      <w:ind w:right="360"/>
    </w:pPr>
    <w:r>
      <w:rPr>
        <w:rStyle w:val="PageNumber"/>
      </w:rPr>
      <w:fldChar w:fldCharType="begin"/>
    </w:r>
    <w:r>
      <w:rPr>
        <w:rStyle w:val="PageNumber"/>
      </w:rPr>
      <w:instrText xml:space="preserve"> PAGE </w:instrText>
    </w:r>
    <w:r>
      <w:rPr>
        <w:rStyle w:val="PageNumber"/>
      </w:rPr>
      <w:fldChar w:fldCharType="separate"/>
    </w:r>
    <w:r w:rsidR="00E149D2">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49D2">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EE306" w14:textId="77777777" w:rsidR="00600578" w:rsidRDefault="00600578">
      <w:pPr>
        <w:spacing w:after="0"/>
      </w:pPr>
      <w:r>
        <w:separator/>
      </w:r>
    </w:p>
  </w:footnote>
  <w:footnote w:type="continuationSeparator" w:id="0">
    <w:p w14:paraId="36485FC6" w14:textId="77777777" w:rsidR="00600578" w:rsidRDefault="006005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F312C" w14:textId="77777777" w:rsidR="00E21F7D" w:rsidRDefault="00E21F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4C20635"/>
    <w:multiLevelType w:val="multilevel"/>
    <w:tmpl w:val="14C20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6B56334"/>
    <w:multiLevelType w:val="multilevel"/>
    <w:tmpl w:val="16B56334"/>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nsid w:val="23EB2ED3"/>
    <w:multiLevelType w:val="multilevel"/>
    <w:tmpl w:val="23EB2E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48227E"/>
    <w:multiLevelType w:val="multilevel"/>
    <w:tmpl w:val="3A4822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5D3C3F"/>
    <w:multiLevelType w:val="multilevel"/>
    <w:tmpl w:val="3E5D3C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1EA68EA"/>
    <w:multiLevelType w:val="multilevel"/>
    <w:tmpl w:val="41EA68E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B16C60"/>
    <w:multiLevelType w:val="multilevel"/>
    <w:tmpl w:val="53B16C6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4F6290B"/>
    <w:multiLevelType w:val="multilevel"/>
    <w:tmpl w:val="54F62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5">
    <w:nsid w:val="60945C4B"/>
    <w:multiLevelType w:val="hybridMultilevel"/>
    <w:tmpl w:val="CE5E658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77402BD6"/>
    <w:multiLevelType w:val="multilevel"/>
    <w:tmpl w:val="77402BD6"/>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21">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7"/>
  </w:num>
  <w:num w:numId="4">
    <w:abstractNumId w:val="7"/>
  </w:num>
  <w:num w:numId="5">
    <w:abstractNumId w:val="22"/>
  </w:num>
  <w:num w:numId="6">
    <w:abstractNumId w:val="16"/>
  </w:num>
  <w:num w:numId="7">
    <w:abstractNumId w:val="5"/>
  </w:num>
  <w:num w:numId="8">
    <w:abstractNumId w:val="21"/>
  </w:num>
  <w:num w:numId="9">
    <w:abstractNumId w:val="13"/>
  </w:num>
  <w:num w:numId="10">
    <w:abstractNumId w:val="10"/>
  </w:num>
  <w:num w:numId="11">
    <w:abstractNumId w:val="19"/>
  </w:num>
  <w:num w:numId="12">
    <w:abstractNumId w:val="1"/>
  </w:num>
  <w:num w:numId="13">
    <w:abstractNumId w:val="6"/>
  </w:num>
  <w:num w:numId="14">
    <w:abstractNumId w:val="9"/>
  </w:num>
  <w:num w:numId="15">
    <w:abstractNumId w:val="2"/>
  </w:num>
  <w:num w:numId="16">
    <w:abstractNumId w:val="3"/>
  </w:num>
  <w:num w:numId="17">
    <w:abstractNumId w:val="12"/>
  </w:num>
  <w:num w:numId="18">
    <w:abstractNumId w:val="0"/>
  </w:num>
  <w:num w:numId="19">
    <w:abstractNumId w:val="8"/>
  </w:num>
  <w:num w:numId="20">
    <w:abstractNumId w:val="20"/>
  </w:num>
  <w:num w:numId="21">
    <w:abstractNumId w:val="18"/>
  </w:num>
  <w:num w:numId="22">
    <w:abstractNumId w:val="17"/>
  </w:num>
  <w:num w:numId="23">
    <w:abstractNumId w:val="11"/>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4FEF"/>
    <w:rsid w:val="00015346"/>
    <w:rsid w:val="00015BCB"/>
    <w:rsid w:val="00015CED"/>
    <w:rsid w:val="000162B2"/>
    <w:rsid w:val="00016441"/>
    <w:rsid w:val="0001645D"/>
    <w:rsid w:val="000164BB"/>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01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56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8FD"/>
    <w:rsid w:val="000D206C"/>
    <w:rsid w:val="000D2185"/>
    <w:rsid w:val="000D2578"/>
    <w:rsid w:val="000D29D6"/>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1B4"/>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628"/>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306"/>
    <w:rsid w:val="0010568A"/>
    <w:rsid w:val="001056C5"/>
    <w:rsid w:val="00105820"/>
    <w:rsid w:val="00105CEE"/>
    <w:rsid w:val="00105DA1"/>
    <w:rsid w:val="00105EFB"/>
    <w:rsid w:val="001065F9"/>
    <w:rsid w:val="0010660E"/>
    <w:rsid w:val="00106A95"/>
    <w:rsid w:val="00106C39"/>
    <w:rsid w:val="00106CC3"/>
    <w:rsid w:val="00106E7E"/>
    <w:rsid w:val="00106FF1"/>
    <w:rsid w:val="00107423"/>
    <w:rsid w:val="0010795D"/>
    <w:rsid w:val="00107B52"/>
    <w:rsid w:val="00107C93"/>
    <w:rsid w:val="0011034F"/>
    <w:rsid w:val="0011036F"/>
    <w:rsid w:val="00110851"/>
    <w:rsid w:val="00111494"/>
    <w:rsid w:val="001115C0"/>
    <w:rsid w:val="001115F4"/>
    <w:rsid w:val="001116D2"/>
    <w:rsid w:val="0011190B"/>
    <w:rsid w:val="00111AD9"/>
    <w:rsid w:val="0011211A"/>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2DC"/>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C5D"/>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1D6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1B1"/>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6D0"/>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6CF"/>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B32"/>
    <w:rsid w:val="00284E7F"/>
    <w:rsid w:val="0028550D"/>
    <w:rsid w:val="00285520"/>
    <w:rsid w:val="00285894"/>
    <w:rsid w:val="00285E28"/>
    <w:rsid w:val="00286631"/>
    <w:rsid w:val="00286B84"/>
    <w:rsid w:val="00286F76"/>
    <w:rsid w:val="00287376"/>
    <w:rsid w:val="00287439"/>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E65"/>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1D73"/>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2"/>
    <w:rsid w:val="002E2A76"/>
    <w:rsid w:val="002E306D"/>
    <w:rsid w:val="002E3653"/>
    <w:rsid w:val="002E38B7"/>
    <w:rsid w:val="002E4301"/>
    <w:rsid w:val="002E44ED"/>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6F47"/>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814"/>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D1"/>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CC4"/>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7D0"/>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07A"/>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879"/>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C4D"/>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0DCD"/>
    <w:rsid w:val="005417A0"/>
    <w:rsid w:val="005417ED"/>
    <w:rsid w:val="0054183A"/>
    <w:rsid w:val="00541D0D"/>
    <w:rsid w:val="00541E2B"/>
    <w:rsid w:val="00543046"/>
    <w:rsid w:val="0054340E"/>
    <w:rsid w:val="0054348B"/>
    <w:rsid w:val="005436D7"/>
    <w:rsid w:val="00543703"/>
    <w:rsid w:val="00543A06"/>
    <w:rsid w:val="00543A66"/>
    <w:rsid w:val="00543A83"/>
    <w:rsid w:val="00543B1F"/>
    <w:rsid w:val="00543FA3"/>
    <w:rsid w:val="00544624"/>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1E0"/>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286"/>
    <w:rsid w:val="00584496"/>
    <w:rsid w:val="00584AA2"/>
    <w:rsid w:val="005852AA"/>
    <w:rsid w:val="00585867"/>
    <w:rsid w:val="00585C3A"/>
    <w:rsid w:val="00585EA1"/>
    <w:rsid w:val="00586013"/>
    <w:rsid w:val="00586182"/>
    <w:rsid w:val="0058628A"/>
    <w:rsid w:val="00586B34"/>
    <w:rsid w:val="00587117"/>
    <w:rsid w:val="00587334"/>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9D2"/>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578"/>
    <w:rsid w:val="00600AAB"/>
    <w:rsid w:val="00600B6C"/>
    <w:rsid w:val="00600BE4"/>
    <w:rsid w:val="00601072"/>
    <w:rsid w:val="00601097"/>
    <w:rsid w:val="0060144E"/>
    <w:rsid w:val="006014F8"/>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2FC"/>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634"/>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2D"/>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4A3"/>
    <w:rsid w:val="006D35CD"/>
    <w:rsid w:val="006D3CC3"/>
    <w:rsid w:val="006D3D01"/>
    <w:rsid w:val="006D4133"/>
    <w:rsid w:val="006D4324"/>
    <w:rsid w:val="006D4373"/>
    <w:rsid w:val="006D43A3"/>
    <w:rsid w:val="006D492A"/>
    <w:rsid w:val="006D493C"/>
    <w:rsid w:val="006D4D15"/>
    <w:rsid w:val="006D529F"/>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B89"/>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BCE"/>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E79"/>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1AF"/>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5BD3"/>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9D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B6"/>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57E"/>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5CAE"/>
    <w:rsid w:val="008F6188"/>
    <w:rsid w:val="008F618C"/>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281B"/>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0B3"/>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2D8"/>
    <w:rsid w:val="00946388"/>
    <w:rsid w:val="0094663A"/>
    <w:rsid w:val="00946AA5"/>
    <w:rsid w:val="00946C4B"/>
    <w:rsid w:val="00946C95"/>
    <w:rsid w:val="009478ED"/>
    <w:rsid w:val="009479E5"/>
    <w:rsid w:val="00950781"/>
    <w:rsid w:val="009509D7"/>
    <w:rsid w:val="00950A9C"/>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1D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42B"/>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61F"/>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1A3"/>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8C5"/>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1B94"/>
    <w:rsid w:val="00B5238F"/>
    <w:rsid w:val="00B529F2"/>
    <w:rsid w:val="00B52EC8"/>
    <w:rsid w:val="00B53414"/>
    <w:rsid w:val="00B5370C"/>
    <w:rsid w:val="00B538FF"/>
    <w:rsid w:val="00B53EF5"/>
    <w:rsid w:val="00B54126"/>
    <w:rsid w:val="00B542BA"/>
    <w:rsid w:val="00B54989"/>
    <w:rsid w:val="00B54CC5"/>
    <w:rsid w:val="00B54E12"/>
    <w:rsid w:val="00B553CF"/>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631"/>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99E"/>
    <w:rsid w:val="00B91E9D"/>
    <w:rsid w:val="00B91ED5"/>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35E"/>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245"/>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2D3"/>
    <w:rsid w:val="00C01835"/>
    <w:rsid w:val="00C01983"/>
    <w:rsid w:val="00C01DFD"/>
    <w:rsid w:val="00C02192"/>
    <w:rsid w:val="00C02517"/>
    <w:rsid w:val="00C0279C"/>
    <w:rsid w:val="00C02C95"/>
    <w:rsid w:val="00C02CDE"/>
    <w:rsid w:val="00C03B7B"/>
    <w:rsid w:val="00C03C30"/>
    <w:rsid w:val="00C03C51"/>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2FD"/>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A70"/>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37"/>
    <w:rsid w:val="00C37CA6"/>
    <w:rsid w:val="00C37F8D"/>
    <w:rsid w:val="00C4018E"/>
    <w:rsid w:val="00C404D5"/>
    <w:rsid w:val="00C40AEB"/>
    <w:rsid w:val="00C40B7D"/>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BC"/>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7E6"/>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2DE6"/>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E46"/>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77618"/>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2"/>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1F7D"/>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A9D"/>
    <w:rsid w:val="00E26DD2"/>
    <w:rsid w:val="00E272FE"/>
    <w:rsid w:val="00E27950"/>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0C5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155"/>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0D99"/>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AF5"/>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7E"/>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4C0B"/>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0C6"/>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0D11"/>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08F"/>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446"/>
    <w:rsid w:val="00FD235B"/>
    <w:rsid w:val="00FD2804"/>
    <w:rsid w:val="00FD282A"/>
    <w:rsid w:val="00FD2A71"/>
    <w:rsid w:val="00FD3124"/>
    <w:rsid w:val="00FD3905"/>
    <w:rsid w:val="00FD4CC0"/>
    <w:rsid w:val="00FD5143"/>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0C69"/>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29D0FB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4958D6"/>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62C19"/>
  <w15:docId w15:val="{FC13C805-BF74-46F4-AF5D-9A4922D9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table" w:customStyle="1" w:styleId="TableNormal2">
    <w:name w:val="Table Normal2"/>
    <w:basedOn w:val="TableNormal"/>
    <w:semiHidden/>
    <w:qFormat/>
    <w:rPr>
      <w:rFonts w:cs="Arial"/>
    </w:rPr>
    <w:tblPr>
      <w:tblInd w:w="0" w:type="dxa"/>
      <w:tblCellMar>
        <w:top w:w="0" w:type="dxa"/>
        <w:left w:w="108" w:type="dxa"/>
        <w:bottom w:w="0" w:type="dxa"/>
        <w:right w:w="108" w:type="dxa"/>
      </w:tblCellMar>
    </w:tblPr>
  </w:style>
  <w:style w:type="paragraph" w:customStyle="1" w:styleId="12">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92D2E098-4254-4EE4-9309-4779F3A0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82</cp:revision>
  <cp:lastPrinted>2018-04-07T03:05:00Z</cp:lastPrinted>
  <dcterms:created xsi:type="dcterms:W3CDTF">2019-05-02T06:04:00Z</dcterms:created>
  <dcterms:modified xsi:type="dcterms:W3CDTF">2019-11-08T08:28:00Z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